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100" w:beforeAutospacing="1" w:after="100" w:afterAutospacing="1"/>
        <w:jc w:val="right"/>
        <w:rPr>
          <w:rFonts w:ascii="宋体" w:hAnsi="宋体" w:eastAsia="宋体"/>
          <w:sz w:val="28"/>
          <w:szCs w:val="28"/>
        </w:rPr>
      </w:pPr>
    </w:p>
    <w:p>
      <w:pPr>
        <w:spacing w:before="100" w:beforeAutospacing="1" w:after="100" w:afterAutospacing="1"/>
        <w:jc w:val="right"/>
        <w:rPr>
          <w:rFonts w:ascii="宋体" w:hAnsi="宋体" w:eastAsia="宋体"/>
          <w:sz w:val="28"/>
          <w:szCs w:val="28"/>
        </w:rPr>
      </w:pPr>
    </w:p>
    <w:p>
      <w:pPr>
        <w:jc w:val="center"/>
        <w:rPr>
          <w:rFonts w:ascii="黑体" w:hAnsi="黑体" w:eastAsia="黑体"/>
          <w:b/>
          <w:sz w:val="44"/>
          <w:szCs w:val="44"/>
        </w:rPr>
      </w:pPr>
      <w:r>
        <w:rPr>
          <w:rFonts w:hint="eastAsia" w:ascii="黑体" w:hAnsi="黑体" w:eastAsia="黑体"/>
          <w:b/>
          <w:sz w:val="44"/>
          <w:szCs w:val="44"/>
        </w:rPr>
        <w:t>上海奉贤发展（集团）有限公司</w:t>
      </w:r>
    </w:p>
    <w:p>
      <w:pPr>
        <w:jc w:val="center"/>
        <w:rPr>
          <w:rFonts w:ascii="黑体" w:hAnsi="黑体" w:eastAsia="黑体"/>
          <w:b/>
          <w:sz w:val="44"/>
          <w:szCs w:val="44"/>
        </w:rPr>
      </w:pPr>
      <w:r>
        <w:rPr>
          <w:rFonts w:hint="eastAsia" w:ascii="黑体" w:hAnsi="黑体" w:eastAsia="黑体"/>
          <w:b/>
          <w:sz w:val="44"/>
          <w:szCs w:val="44"/>
        </w:rPr>
        <w:t>项目贷款</w:t>
      </w:r>
    </w:p>
    <w:p>
      <w:pPr>
        <w:spacing w:before="100" w:beforeAutospacing="1" w:after="100" w:afterAutospacing="1"/>
        <w:jc w:val="center"/>
        <w:rPr>
          <w:rFonts w:ascii="宋体" w:hAnsi="宋体" w:eastAsia="宋体"/>
          <w:b/>
          <w:spacing w:val="28"/>
          <w:sz w:val="84"/>
          <w:szCs w:val="84"/>
        </w:rPr>
      </w:pPr>
      <w:r>
        <w:rPr>
          <w:rFonts w:hint="eastAsia" w:ascii="宋体" w:hAnsi="宋体" w:eastAsia="宋体"/>
          <w:b/>
          <w:spacing w:val="28"/>
          <w:sz w:val="84"/>
          <w:szCs w:val="84"/>
        </w:rPr>
        <w:t>招</w:t>
      </w:r>
    </w:p>
    <w:p>
      <w:pPr>
        <w:spacing w:before="100" w:beforeAutospacing="1" w:after="100" w:afterAutospacing="1"/>
        <w:jc w:val="center"/>
        <w:rPr>
          <w:rFonts w:ascii="宋体" w:hAnsi="宋体" w:eastAsia="宋体"/>
          <w:b/>
          <w:spacing w:val="28"/>
          <w:sz w:val="84"/>
          <w:szCs w:val="84"/>
        </w:rPr>
      </w:pPr>
      <w:r>
        <w:rPr>
          <w:rFonts w:hint="eastAsia" w:ascii="宋体" w:hAnsi="宋体" w:eastAsia="宋体"/>
          <w:b/>
          <w:spacing w:val="28"/>
          <w:sz w:val="84"/>
          <w:szCs w:val="84"/>
        </w:rPr>
        <w:t>标</w:t>
      </w:r>
    </w:p>
    <w:p>
      <w:pPr>
        <w:jc w:val="center"/>
        <w:rPr>
          <w:rFonts w:ascii="宋体" w:hAnsi="宋体" w:eastAsia="宋体"/>
          <w:b/>
          <w:spacing w:val="28"/>
          <w:sz w:val="84"/>
          <w:szCs w:val="84"/>
        </w:rPr>
      </w:pPr>
      <w:r>
        <w:rPr>
          <w:rFonts w:hint="eastAsia" w:ascii="宋体" w:hAnsi="宋体" w:eastAsia="宋体"/>
          <w:b/>
          <w:spacing w:val="28"/>
          <w:sz w:val="84"/>
          <w:szCs w:val="84"/>
        </w:rPr>
        <w:t>文</w:t>
      </w:r>
    </w:p>
    <w:p>
      <w:pPr>
        <w:jc w:val="center"/>
        <w:rPr>
          <w:rFonts w:ascii="黑体" w:hAnsi="黑体" w:eastAsia="黑体"/>
          <w:b/>
          <w:sz w:val="44"/>
          <w:szCs w:val="44"/>
        </w:rPr>
      </w:pPr>
      <w:r>
        <w:rPr>
          <w:rFonts w:hint="eastAsia" w:ascii="宋体" w:hAnsi="宋体" w:eastAsia="宋体"/>
          <w:b/>
          <w:spacing w:val="28"/>
          <w:sz w:val="84"/>
          <w:szCs w:val="84"/>
        </w:rPr>
        <w:t>件</w:t>
      </w:r>
    </w:p>
    <w:p>
      <w:pPr>
        <w:spacing w:before="100" w:beforeAutospacing="1" w:after="100" w:afterAutospacing="1"/>
        <w:jc w:val="center"/>
        <w:rPr>
          <w:rFonts w:ascii="宋体" w:hAnsi="宋体" w:eastAsia="宋体"/>
          <w:b/>
          <w:spacing w:val="28"/>
          <w:sz w:val="36"/>
          <w:szCs w:val="28"/>
        </w:rPr>
      </w:pPr>
      <w:r>
        <w:rPr>
          <w:rFonts w:hint="eastAsia" w:ascii="宋体" w:hAnsi="宋体" w:eastAsia="宋体"/>
          <w:b/>
          <w:spacing w:val="28"/>
          <w:sz w:val="36"/>
          <w:szCs w:val="28"/>
        </w:rPr>
        <w:t>二〇二四年五月</w:t>
      </w:r>
    </w:p>
    <w:p>
      <w:pPr>
        <w:spacing w:before="100" w:beforeAutospacing="1" w:after="100" w:afterAutospacing="1"/>
        <w:jc w:val="center"/>
        <w:rPr>
          <w:rFonts w:ascii="宋体" w:hAnsi="宋体" w:eastAsia="宋体"/>
          <w:b/>
          <w:spacing w:val="28"/>
          <w:sz w:val="28"/>
          <w:szCs w:val="28"/>
        </w:rPr>
      </w:pPr>
    </w:p>
    <w:p>
      <w:pPr>
        <w:spacing w:before="100" w:beforeAutospacing="1" w:after="100" w:afterAutospacing="1"/>
        <w:jc w:val="center"/>
        <w:rPr>
          <w:rFonts w:ascii="宋体" w:hAnsi="宋体" w:eastAsia="宋体"/>
          <w:b/>
          <w:spacing w:val="28"/>
          <w:sz w:val="28"/>
          <w:szCs w:val="28"/>
        </w:rPr>
      </w:pPr>
    </w:p>
    <w:p>
      <w:pPr>
        <w:spacing w:before="100" w:beforeAutospacing="1" w:after="100" w:afterAutospacing="1"/>
        <w:jc w:val="center"/>
        <w:rPr>
          <w:rFonts w:ascii="宋体" w:hAnsi="宋体" w:eastAsia="宋体"/>
          <w:b/>
          <w:spacing w:val="28"/>
          <w:sz w:val="28"/>
          <w:szCs w:val="28"/>
        </w:rPr>
      </w:pPr>
    </w:p>
    <w:p>
      <w:pPr>
        <w:spacing w:before="100" w:beforeAutospacing="1" w:after="100" w:afterAutospacing="1"/>
        <w:jc w:val="center"/>
        <w:outlineLvl w:val="0"/>
        <w:rPr>
          <w:rFonts w:ascii="宋体" w:hAnsi="宋体" w:eastAsia="宋体"/>
          <w:b/>
          <w:bCs/>
          <w:sz w:val="32"/>
          <w:szCs w:val="32"/>
        </w:rPr>
      </w:pPr>
      <w:r>
        <w:rPr>
          <w:rFonts w:hint="eastAsia" w:ascii="宋体" w:hAnsi="宋体" w:eastAsia="宋体" w:cs="宋体"/>
          <w:b/>
          <w:bCs/>
          <w:sz w:val="32"/>
          <w:szCs w:val="32"/>
        </w:rPr>
        <w:t>第一章　招标书</w:t>
      </w:r>
    </w:p>
    <w:p>
      <w:pPr>
        <w:spacing w:before="100" w:beforeAutospacing="1" w:after="100" w:afterAutospacing="1" w:line="500" w:lineRule="exact"/>
        <w:ind w:firstLine="573"/>
        <w:rPr>
          <w:rFonts w:ascii="仿宋_GB2312" w:hAnsi="宋体" w:eastAsia="仿宋_GB2312" w:cs="仿宋_GB2312"/>
        </w:rPr>
      </w:pPr>
      <w:r>
        <w:rPr>
          <w:rFonts w:hint="eastAsia" w:ascii="仿宋_GB2312" w:hAnsi="宋体" w:eastAsia="仿宋_GB2312" w:cs="仿宋_GB2312"/>
        </w:rPr>
        <w:t>为了更好地履行区国资委《关于奉贤区区管企业开展融资活动相关工作要求的通知》【奉国资委（2017）168号】文件精神，进一步规范上海奉贤发展（集团）有限公司（以下简称奉发集团）的融资行为，降低融资成本，</w:t>
      </w:r>
      <w:bookmarkStart w:id="0" w:name="_Hlk165972005"/>
      <w:r>
        <w:rPr>
          <w:rFonts w:hint="eastAsia" w:ascii="仿宋_GB2312" w:hAnsi="宋体" w:eastAsia="仿宋_GB2312" w:cs="仿宋_GB2312"/>
        </w:rPr>
        <w:t>现采取招标方式公开选定</w:t>
      </w:r>
      <w:bookmarkEnd w:id="0"/>
      <w:r>
        <w:rPr>
          <w:rFonts w:hint="eastAsia" w:ascii="仿宋_GB2312" w:hAnsi="宋体" w:eastAsia="仿宋_GB2312" w:cs="仿宋_GB2312"/>
        </w:rPr>
        <w:t>“</w:t>
      </w:r>
      <w:r>
        <w:rPr>
          <w:rFonts w:hint="eastAsia" w:ascii="仿宋_GB2312" w:hAnsi="宋体" w:eastAsia="仿宋_GB2312" w:cs="仿宋_GB2312"/>
          <w:b/>
          <w:u w:val="single"/>
        </w:rPr>
        <w:t>奉贤新城21单元14-01区域地块保租房项目</w:t>
      </w:r>
      <w:r>
        <w:rPr>
          <w:rFonts w:hint="eastAsia" w:ascii="仿宋_GB2312" w:hAnsi="宋体" w:eastAsia="仿宋_GB2312" w:cs="仿宋_GB2312"/>
        </w:rPr>
        <w:t>”</w:t>
      </w:r>
      <w:bookmarkStart w:id="1" w:name="_Hlk165972018"/>
      <w:r>
        <w:rPr>
          <w:rFonts w:hint="eastAsia" w:ascii="仿宋_GB2312" w:hAnsi="宋体" w:eastAsia="仿宋_GB2312" w:cs="仿宋_GB2312"/>
        </w:rPr>
        <w:t>项目贷款的贷款银行</w:t>
      </w:r>
      <w:bookmarkEnd w:id="1"/>
      <w:r>
        <w:rPr>
          <w:rFonts w:hint="eastAsia" w:ascii="仿宋_GB2312" w:hAnsi="宋体" w:eastAsia="仿宋_GB2312" w:cs="仿宋_GB2312"/>
        </w:rPr>
        <w:t>。如有合作意向，</w:t>
      </w:r>
      <w:bookmarkStart w:id="2" w:name="_Hlk148627048"/>
      <w:r>
        <w:rPr>
          <w:rFonts w:hint="eastAsia" w:ascii="仿宋_GB2312" w:hAnsi="宋体" w:eastAsia="仿宋_GB2312" w:cs="仿宋_GB2312"/>
        </w:rPr>
        <w:t>欢迎各行参加投标。</w:t>
      </w:r>
      <w:bookmarkEnd w:id="2"/>
    </w:p>
    <w:p>
      <w:pPr>
        <w:spacing w:before="100" w:beforeAutospacing="1" w:after="100" w:afterAutospacing="1" w:line="500" w:lineRule="exact"/>
        <w:ind w:firstLine="573"/>
        <w:rPr>
          <w:rFonts w:ascii="仿宋_GB2312" w:hAnsi="宋体" w:eastAsia="仿宋_GB2312"/>
        </w:rPr>
      </w:pPr>
      <w:r>
        <w:rPr>
          <w:rFonts w:hint="eastAsia" w:ascii="仿宋_GB2312" w:hAnsi="宋体" w:eastAsia="仿宋_GB2312" w:cs="仿宋_GB2312"/>
        </w:rPr>
        <w:t>奉发集团作为招标人，负责组织和具体实施本次招标；奉发集团下属子公司上海煜文置业有限公司为借款人，具体承担贷款合同签订及履行工作。</w:t>
      </w:r>
    </w:p>
    <w:p>
      <w:pPr>
        <w:spacing w:before="100" w:beforeAutospacing="1" w:after="100" w:afterAutospacing="1" w:line="500" w:lineRule="exact"/>
        <w:ind w:firstLine="452" w:firstLineChars="150"/>
        <w:rPr>
          <w:rFonts w:ascii="仿宋_GB2312" w:hAnsi="宋体" w:eastAsia="仿宋_GB2312"/>
          <w:b/>
          <w:bCs/>
        </w:rPr>
      </w:pPr>
      <w:r>
        <w:rPr>
          <w:rFonts w:hint="eastAsia" w:ascii="仿宋_GB2312" w:hAnsi="宋体" w:eastAsia="仿宋_GB2312" w:cs="仿宋_GB2312"/>
          <w:b/>
          <w:bCs/>
        </w:rPr>
        <w:t>一、投标银行资格条件</w:t>
      </w:r>
    </w:p>
    <w:p>
      <w:pPr>
        <w:spacing w:before="100" w:beforeAutospacing="1" w:after="100" w:afterAutospacing="1" w:line="500" w:lineRule="exact"/>
        <w:ind w:firstLine="600" w:firstLineChars="200"/>
        <w:rPr>
          <w:rFonts w:ascii="仿宋_GB2312" w:hAnsi="宋体" w:eastAsia="仿宋_GB2312"/>
        </w:rPr>
      </w:pPr>
      <w:r>
        <w:rPr>
          <w:rFonts w:hint="eastAsia" w:ascii="仿宋_GB2312" w:hAnsi="宋体" w:eastAsia="仿宋_GB2312" w:cs="仿宋_GB2312"/>
        </w:rPr>
        <w:t>具有良好信用的政策性银行或商业银行（包括国有或国有控股、股份制商业银行及其他商业银行）。</w:t>
      </w:r>
    </w:p>
    <w:p>
      <w:pPr>
        <w:spacing w:before="100" w:beforeAutospacing="1" w:after="100" w:afterAutospacing="1" w:line="500" w:lineRule="exact"/>
        <w:ind w:firstLine="600" w:firstLineChars="200"/>
        <w:rPr>
          <w:rFonts w:ascii="仿宋_GB2312" w:hAnsi="宋体" w:eastAsia="仿宋_GB2312"/>
        </w:rPr>
      </w:pPr>
      <w:r>
        <w:rPr>
          <w:rFonts w:hint="eastAsia" w:ascii="仿宋_GB2312" w:hAnsi="宋体" w:eastAsia="仿宋_GB2312" w:cs="仿宋_GB2312"/>
        </w:rPr>
        <w:t>具有中国银行业监督管理委员会或其授权机构依法颁发的《金融机构法人许可证》、《金融机构营业许可证》，并具有提供本项目贷款金融业务的经营范围和能力。</w:t>
      </w:r>
    </w:p>
    <w:p>
      <w:pPr>
        <w:spacing w:before="100" w:beforeAutospacing="1" w:after="100" w:afterAutospacing="1" w:line="500" w:lineRule="exact"/>
        <w:ind w:firstLine="602" w:firstLineChars="200"/>
        <w:rPr>
          <w:rFonts w:ascii="仿宋_GB2312" w:hAnsi="宋体" w:eastAsia="仿宋_GB2312" w:cs="仿宋_GB2312"/>
          <w:b/>
          <w:bCs/>
        </w:rPr>
      </w:pPr>
      <w:r>
        <w:rPr>
          <w:rFonts w:hint="eastAsia" w:ascii="仿宋_GB2312" w:hAnsi="宋体" w:eastAsia="仿宋_GB2312" w:cs="仿宋_GB2312"/>
          <w:b/>
          <w:bCs/>
        </w:rPr>
        <w:t>二、招标联系人</w:t>
      </w:r>
    </w:p>
    <w:p>
      <w:pPr>
        <w:spacing w:before="100" w:beforeAutospacing="1" w:after="100" w:afterAutospacing="1" w:line="500" w:lineRule="exact"/>
        <w:ind w:firstLine="600" w:firstLineChars="200"/>
        <w:rPr>
          <w:rFonts w:ascii="仿宋_GB2312" w:hAnsi="宋体" w:eastAsia="仿宋_GB2312"/>
        </w:rPr>
      </w:pPr>
      <w:r>
        <w:rPr>
          <w:rFonts w:hint="eastAsia" w:ascii="仿宋_GB2312" w:hAnsi="宋体" w:eastAsia="仿宋_GB2312" w:cs="仿宋_GB2312"/>
        </w:rPr>
        <w:t>联系人：冯佳男    联系电话：</w:t>
      </w:r>
      <w:r>
        <w:rPr>
          <w:rFonts w:ascii="仿宋_GB2312" w:hAnsi="宋体" w:eastAsia="仿宋_GB2312" w:cs="仿宋_GB2312"/>
        </w:rPr>
        <w:t xml:space="preserve">67185808   </w:t>
      </w:r>
      <w:r>
        <w:rPr>
          <w:rFonts w:hint="eastAsia" w:ascii="仿宋_GB2312" w:hAnsi="宋体" w:eastAsia="仿宋_GB2312" w:cs="仿宋_GB2312"/>
        </w:rPr>
        <w:t>13262505113</w:t>
      </w:r>
    </w:p>
    <w:p>
      <w:pPr>
        <w:spacing w:before="100" w:beforeAutospacing="1" w:after="100" w:afterAutospacing="1" w:line="500" w:lineRule="exact"/>
        <w:ind w:firstLine="452" w:firstLineChars="150"/>
        <w:rPr>
          <w:rFonts w:ascii="仿宋_GB2312" w:hAnsi="宋体" w:eastAsia="仿宋_GB2312"/>
        </w:rPr>
      </w:pPr>
      <w:r>
        <w:rPr>
          <w:rFonts w:hint="eastAsia" w:ascii="仿宋_GB2312" w:hAnsi="宋体" w:eastAsia="仿宋_GB2312" w:cs="仿宋_GB2312"/>
          <w:b/>
          <w:bCs/>
        </w:rPr>
        <w:t>三、递交标书截止时间为：</w:t>
      </w:r>
      <w:r>
        <w:rPr>
          <w:rFonts w:ascii="仿宋_GB2312" w:hAnsi="宋体" w:eastAsia="仿宋_GB2312" w:cs="仿宋_GB2312"/>
          <w:u w:val="single"/>
        </w:rPr>
        <w:t>2024</w:t>
      </w:r>
      <w:r>
        <w:rPr>
          <w:rFonts w:hint="eastAsia" w:ascii="仿宋_GB2312" w:hAnsi="宋体" w:eastAsia="仿宋_GB2312" w:cs="仿宋_GB2312"/>
        </w:rPr>
        <w:t>年</w:t>
      </w:r>
      <w:r>
        <w:rPr>
          <w:rFonts w:ascii="仿宋_GB2312" w:hAnsi="宋体" w:eastAsia="仿宋_GB2312" w:cs="仿宋_GB2312"/>
          <w:u w:val="single"/>
        </w:rPr>
        <w:t>5</w:t>
      </w:r>
      <w:r>
        <w:rPr>
          <w:rFonts w:hint="eastAsia" w:ascii="仿宋_GB2312" w:hAnsi="宋体" w:eastAsia="仿宋_GB2312" w:cs="仿宋_GB2312"/>
        </w:rPr>
        <w:t>月</w:t>
      </w:r>
      <w:r>
        <w:rPr>
          <w:rFonts w:hint="eastAsia" w:ascii="仿宋_GB2312" w:hAnsi="宋体" w:eastAsia="仿宋_GB2312" w:cs="仿宋_GB2312"/>
          <w:u w:val="single"/>
          <w:lang w:val="en-US" w:eastAsia="zh-CN"/>
        </w:rPr>
        <w:t>21</w:t>
      </w:r>
      <w:r>
        <w:rPr>
          <w:rFonts w:hint="eastAsia" w:ascii="仿宋_GB2312" w:hAnsi="宋体" w:eastAsia="仿宋_GB2312" w:cs="仿宋_GB2312"/>
        </w:rPr>
        <w:t xml:space="preserve">日 </w:t>
      </w:r>
      <w:r>
        <w:rPr>
          <w:rFonts w:ascii="仿宋_GB2312" w:hAnsi="宋体" w:eastAsia="仿宋_GB2312" w:cs="仿宋_GB2312"/>
        </w:rPr>
        <w:t>17</w:t>
      </w:r>
      <w:bookmarkStart w:id="7" w:name="_GoBack"/>
      <w:bookmarkEnd w:id="7"/>
      <w:r>
        <w:rPr>
          <w:rFonts w:hint="eastAsia" w:ascii="仿宋_GB2312" w:hAnsi="宋体" w:eastAsia="仿宋_GB2312" w:cs="仿宋_GB2312"/>
        </w:rPr>
        <w:t>:</w:t>
      </w:r>
      <w:r>
        <w:rPr>
          <w:rFonts w:ascii="仿宋_GB2312" w:hAnsi="宋体" w:eastAsia="仿宋_GB2312" w:cs="仿宋_GB2312"/>
        </w:rPr>
        <w:t>00</w:t>
      </w:r>
    </w:p>
    <w:p>
      <w:pPr>
        <w:spacing w:before="100" w:beforeAutospacing="1" w:after="100" w:afterAutospacing="1" w:line="500" w:lineRule="exact"/>
        <w:ind w:firstLine="452" w:firstLineChars="150"/>
        <w:rPr>
          <w:rFonts w:ascii="仿宋_GB2312" w:hAnsi="宋体" w:eastAsia="仿宋_GB2312" w:cs="仿宋_GB2312"/>
        </w:rPr>
      </w:pPr>
      <w:r>
        <w:rPr>
          <w:rFonts w:hint="eastAsia" w:ascii="仿宋_GB2312" w:hAnsi="宋体" w:eastAsia="仿宋_GB2312" w:cs="仿宋_GB2312"/>
          <w:b/>
          <w:bCs/>
        </w:rPr>
        <w:t>四、递交标书地点</w:t>
      </w:r>
    </w:p>
    <w:p>
      <w:pPr>
        <w:spacing w:before="100" w:beforeAutospacing="1" w:after="100" w:afterAutospacing="1" w:line="500" w:lineRule="exact"/>
        <w:ind w:firstLine="450" w:firstLineChars="150"/>
        <w:rPr>
          <w:rFonts w:ascii="仿宋_GB2312" w:hAnsi="宋体" w:eastAsia="仿宋_GB2312"/>
        </w:rPr>
      </w:pPr>
      <w:r>
        <w:rPr>
          <w:rFonts w:hint="eastAsia" w:ascii="仿宋_GB2312" w:hAnsi="宋体" w:eastAsia="仿宋_GB2312"/>
        </w:rPr>
        <w:t>奉发大厦15楼1503室</w:t>
      </w:r>
    </w:p>
    <w:p>
      <w:pPr>
        <w:spacing w:before="100" w:beforeAutospacing="1" w:after="100" w:afterAutospacing="1" w:line="500" w:lineRule="exact"/>
        <w:jc w:val="center"/>
        <w:rPr>
          <w:rFonts w:ascii="宋体" w:hAnsi="宋体" w:eastAsia="宋体"/>
          <w:b/>
          <w:bCs/>
          <w:sz w:val="32"/>
          <w:szCs w:val="32"/>
        </w:rPr>
      </w:pPr>
      <w:r>
        <w:rPr>
          <w:rFonts w:hint="eastAsia" w:ascii="宋体" w:hAnsi="宋体" w:eastAsia="宋体" w:cs="宋体"/>
          <w:b/>
          <w:bCs/>
          <w:sz w:val="32"/>
          <w:szCs w:val="32"/>
        </w:rPr>
        <w:t>第二章  招标需求和内容</w:t>
      </w:r>
    </w:p>
    <w:p>
      <w:pPr>
        <w:adjustRightInd w:val="0"/>
        <w:snapToGrid w:val="0"/>
        <w:spacing w:before="100" w:beforeAutospacing="1" w:after="100" w:afterAutospacing="1" w:line="360" w:lineRule="auto"/>
        <w:ind w:firstLine="600" w:firstLineChars="200"/>
        <w:rPr>
          <w:rFonts w:ascii="仿宋_GB2312" w:hAnsi="宋体" w:eastAsia="仿宋_GB2312"/>
        </w:rPr>
      </w:pPr>
      <w:r>
        <w:rPr>
          <w:rFonts w:hint="eastAsia" w:ascii="仿宋_GB2312" w:hAnsi="宋体" w:eastAsia="仿宋_GB2312"/>
        </w:rPr>
        <w:t>根据区投融资领导小组相关会议精神，同时结合奉发集团实际情况，本集团拟启动上海煜文置业有限公司</w:t>
      </w:r>
      <w:r>
        <w:rPr>
          <w:rFonts w:hint="eastAsia" w:ascii="仿宋_GB2312" w:hAnsi="宋体" w:eastAsia="仿宋_GB2312"/>
          <w:u w:val="single"/>
        </w:rPr>
        <w:t>奉贤新城21单元14-01区域地块保租房项目</w:t>
      </w:r>
      <w:r>
        <w:rPr>
          <w:rFonts w:hint="eastAsia" w:ascii="仿宋_GB2312" w:hAnsi="宋体" w:eastAsia="仿宋_GB2312"/>
        </w:rPr>
        <w:t>，</w:t>
      </w:r>
      <w:bookmarkStart w:id="3" w:name="_Hlk165972109"/>
      <w:r>
        <w:rPr>
          <w:rFonts w:hint="eastAsia" w:ascii="仿宋_GB2312" w:hAnsi="宋体" w:eastAsia="仿宋_GB2312"/>
        </w:rPr>
        <w:t>该项目位于</w:t>
      </w:r>
      <w:bookmarkEnd w:id="3"/>
      <w:r>
        <w:rPr>
          <w:rFonts w:hint="eastAsia" w:ascii="仿宋_GB2312" w:hAnsi="宋体" w:eastAsia="仿宋_GB2312"/>
        </w:rPr>
        <w:t>奉贤区奉贤新城,四至范围东至:肖南路,南至:张翁庙路,西至:秀南路,北至:程国路。项目总投约为12.2亿元（估算），项目贷款授信额度暂定为</w:t>
      </w:r>
      <w:r>
        <w:rPr>
          <w:rFonts w:ascii="仿宋_GB2312" w:hAnsi="宋体" w:eastAsia="仿宋_GB2312"/>
        </w:rPr>
        <w:t>9.7</w:t>
      </w:r>
      <w:r>
        <w:rPr>
          <w:rFonts w:hint="eastAsia" w:ascii="仿宋_GB2312" w:hAnsi="宋体" w:eastAsia="仿宋_GB2312"/>
        </w:rPr>
        <w:t>亿元，上述项目计划采取银团贷款。</w:t>
      </w:r>
      <w:bookmarkStart w:id="4" w:name="_Hlk165982306"/>
      <w:r>
        <w:rPr>
          <w:rFonts w:hint="eastAsia" w:ascii="仿宋_GB2312" w:hAnsi="宋体" w:eastAsia="仿宋_GB2312"/>
        </w:rPr>
        <w:t>现我集团按照放款与还款相配比、合理配置资金结构等原则，进行公开招标。</w:t>
      </w:r>
      <w:bookmarkEnd w:id="4"/>
      <w:r>
        <w:rPr>
          <w:rFonts w:hint="eastAsia" w:ascii="仿宋_GB2312" w:hAnsi="宋体" w:eastAsia="仿宋_GB2312"/>
        </w:rPr>
        <w:t>本次招标贷款总额度为</w:t>
      </w:r>
      <w:r>
        <w:rPr>
          <w:rFonts w:ascii="仿宋_GB2312" w:hAnsi="宋体" w:eastAsia="仿宋_GB2312"/>
        </w:rPr>
        <w:t>9.7</w:t>
      </w:r>
      <w:r>
        <w:rPr>
          <w:rFonts w:hint="eastAsia" w:ascii="仿宋_GB2312" w:hAnsi="宋体" w:eastAsia="仿宋_GB2312"/>
        </w:rPr>
        <w:t>亿元，最终中标银行依评分结果确定。具体项目贷款方案如下：</w:t>
      </w:r>
    </w:p>
    <w:tbl>
      <w:tblPr>
        <w:tblStyle w:val="32"/>
        <w:tblW w:w="9238" w:type="dxa"/>
        <w:tblInd w:w="108" w:type="dxa"/>
        <w:tblLayout w:type="fixed"/>
        <w:tblCellMar>
          <w:top w:w="0" w:type="dxa"/>
          <w:left w:w="108" w:type="dxa"/>
          <w:bottom w:w="0" w:type="dxa"/>
          <w:right w:w="108" w:type="dxa"/>
        </w:tblCellMar>
      </w:tblPr>
      <w:tblGrid>
        <w:gridCol w:w="2552"/>
        <w:gridCol w:w="1134"/>
        <w:gridCol w:w="1843"/>
        <w:gridCol w:w="2126"/>
        <w:gridCol w:w="850"/>
        <w:gridCol w:w="733"/>
      </w:tblGrid>
      <w:tr>
        <w:tblPrEx>
          <w:tblCellMar>
            <w:top w:w="0" w:type="dxa"/>
            <w:left w:w="108" w:type="dxa"/>
            <w:bottom w:w="0" w:type="dxa"/>
            <w:right w:w="108" w:type="dxa"/>
          </w:tblCellMar>
        </w:tblPrEx>
        <w:trPr>
          <w:trHeight w:val="390" w:hRule="atLeast"/>
        </w:trPr>
        <w:tc>
          <w:tcPr>
            <w:tcW w:w="2552" w:type="dxa"/>
            <w:vMerge w:val="restart"/>
            <w:tcBorders>
              <w:top w:val="single" w:color="auto" w:sz="8" w:space="0"/>
              <w:left w:val="single" w:color="auto" w:sz="8" w:space="0"/>
              <w:right w:val="single" w:color="auto" w:sz="4" w:space="0"/>
            </w:tcBorders>
            <w:shd w:val="clear" w:color="auto" w:fill="auto"/>
            <w:vAlign w:val="center"/>
          </w:tcPr>
          <w:p>
            <w:pPr>
              <w:widowControl/>
              <w:jc w:val="center"/>
              <w:rPr>
                <w:rFonts w:ascii="仿宋_GB2312" w:hAnsi="等线" w:eastAsia="仿宋_GB2312" w:cs="宋体"/>
                <w:color w:val="000000"/>
                <w:kern w:val="0"/>
                <w:sz w:val="22"/>
                <w:szCs w:val="28"/>
              </w:rPr>
            </w:pPr>
            <w:r>
              <w:rPr>
                <w:rFonts w:hint="eastAsia" w:ascii="仿宋_GB2312" w:hAnsi="等线" w:eastAsia="仿宋_GB2312" w:cs="宋体"/>
                <w:color w:val="000000"/>
                <w:kern w:val="0"/>
                <w:sz w:val="22"/>
                <w:szCs w:val="28"/>
              </w:rPr>
              <w:t>项目</w:t>
            </w:r>
          </w:p>
        </w:tc>
        <w:tc>
          <w:tcPr>
            <w:tcW w:w="1134" w:type="dxa"/>
            <w:vMerge w:val="restart"/>
            <w:tcBorders>
              <w:top w:val="single" w:color="auto" w:sz="8" w:space="0"/>
              <w:left w:val="nil"/>
              <w:right w:val="nil"/>
            </w:tcBorders>
            <w:shd w:val="clear" w:color="auto" w:fill="auto"/>
            <w:vAlign w:val="center"/>
          </w:tcPr>
          <w:p>
            <w:pPr>
              <w:widowControl/>
              <w:jc w:val="center"/>
              <w:rPr>
                <w:rFonts w:ascii="仿宋_GB2312" w:hAnsi="等线" w:eastAsia="仿宋_GB2312" w:cs="宋体"/>
                <w:color w:val="000000"/>
                <w:kern w:val="0"/>
                <w:sz w:val="22"/>
                <w:szCs w:val="28"/>
              </w:rPr>
            </w:pPr>
            <w:r>
              <w:rPr>
                <w:rFonts w:hint="eastAsia" w:ascii="仿宋_GB2312" w:hAnsi="等线" w:eastAsia="仿宋_GB2312" w:cs="宋体"/>
                <w:color w:val="000000"/>
                <w:kern w:val="0"/>
                <w:sz w:val="22"/>
                <w:szCs w:val="28"/>
              </w:rPr>
              <w:t>融资金额（亿元）</w:t>
            </w:r>
          </w:p>
        </w:tc>
        <w:tc>
          <w:tcPr>
            <w:tcW w:w="3969"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仿宋_GB2312" w:hAnsi="等线" w:eastAsia="仿宋_GB2312" w:cs="宋体"/>
                <w:color w:val="000000"/>
                <w:kern w:val="0"/>
                <w:sz w:val="22"/>
                <w:szCs w:val="28"/>
              </w:rPr>
            </w:pPr>
            <w:r>
              <w:rPr>
                <w:rFonts w:hint="eastAsia" w:ascii="仿宋_GB2312" w:hAnsi="等线" w:eastAsia="仿宋_GB2312" w:cs="宋体"/>
                <w:color w:val="000000"/>
                <w:kern w:val="0"/>
                <w:sz w:val="22"/>
                <w:szCs w:val="28"/>
              </w:rPr>
              <w:t>贷款银行及金额（亿元）</w:t>
            </w:r>
          </w:p>
        </w:tc>
        <w:tc>
          <w:tcPr>
            <w:tcW w:w="850" w:type="dxa"/>
            <w:vMerge w:val="restart"/>
            <w:tcBorders>
              <w:top w:val="single" w:color="auto" w:sz="8" w:space="0"/>
              <w:left w:val="single" w:color="auto" w:sz="4" w:space="0"/>
              <w:right w:val="single" w:color="000000" w:sz="8" w:space="0"/>
            </w:tcBorders>
            <w:shd w:val="clear" w:color="auto" w:fill="auto"/>
            <w:vAlign w:val="center"/>
          </w:tcPr>
          <w:p>
            <w:pPr>
              <w:widowControl/>
              <w:jc w:val="center"/>
              <w:rPr>
                <w:rFonts w:ascii="仿宋_GB2312" w:hAnsi="等线" w:eastAsia="仿宋_GB2312" w:cs="宋体"/>
                <w:color w:val="000000"/>
                <w:kern w:val="0"/>
                <w:sz w:val="22"/>
                <w:szCs w:val="28"/>
              </w:rPr>
            </w:pPr>
            <w:r>
              <w:rPr>
                <w:rFonts w:hint="eastAsia" w:ascii="仿宋_GB2312" w:hAnsi="等线" w:eastAsia="仿宋_GB2312" w:cs="宋体"/>
                <w:color w:val="000000"/>
                <w:kern w:val="0"/>
                <w:sz w:val="22"/>
                <w:szCs w:val="28"/>
              </w:rPr>
              <w:t>期限</w:t>
            </w:r>
          </w:p>
        </w:tc>
        <w:tc>
          <w:tcPr>
            <w:tcW w:w="733" w:type="dxa"/>
            <w:tcBorders>
              <w:top w:val="single" w:color="auto" w:sz="8" w:space="0"/>
              <w:left w:val="single" w:color="auto" w:sz="4" w:space="0"/>
              <w:right w:val="single" w:color="000000" w:sz="8" w:space="0"/>
            </w:tcBorders>
          </w:tcPr>
          <w:p>
            <w:pPr>
              <w:widowControl/>
              <w:jc w:val="center"/>
              <w:rPr>
                <w:rFonts w:ascii="仿宋_GB2312" w:hAnsi="等线" w:eastAsia="仿宋_GB2312" w:cs="宋体"/>
                <w:color w:val="000000"/>
                <w:kern w:val="0"/>
                <w:sz w:val="22"/>
                <w:szCs w:val="28"/>
              </w:rPr>
            </w:pPr>
            <w:r>
              <w:rPr>
                <w:rFonts w:hint="eastAsia" w:ascii="仿宋_GB2312" w:hAnsi="等线" w:eastAsia="仿宋_GB2312" w:cs="宋体"/>
                <w:color w:val="000000"/>
                <w:kern w:val="0"/>
                <w:sz w:val="22"/>
                <w:szCs w:val="28"/>
              </w:rPr>
              <w:t>备注</w:t>
            </w:r>
          </w:p>
        </w:tc>
      </w:tr>
      <w:tr>
        <w:tblPrEx>
          <w:tblCellMar>
            <w:top w:w="0" w:type="dxa"/>
            <w:left w:w="108" w:type="dxa"/>
            <w:bottom w:w="0" w:type="dxa"/>
            <w:right w:w="108" w:type="dxa"/>
          </w:tblCellMar>
        </w:tblPrEx>
        <w:trPr>
          <w:trHeight w:val="330" w:hRule="atLeast"/>
        </w:trPr>
        <w:tc>
          <w:tcPr>
            <w:tcW w:w="2552" w:type="dxa"/>
            <w:vMerge w:val="continue"/>
            <w:tcBorders>
              <w:left w:val="single" w:color="auto" w:sz="8" w:space="0"/>
              <w:bottom w:val="single" w:color="auto" w:sz="4" w:space="0"/>
              <w:right w:val="single" w:color="auto" w:sz="4" w:space="0"/>
            </w:tcBorders>
            <w:shd w:val="clear" w:color="auto" w:fill="auto"/>
            <w:vAlign w:val="center"/>
          </w:tcPr>
          <w:p>
            <w:pPr>
              <w:widowControl/>
              <w:jc w:val="center"/>
              <w:rPr>
                <w:rFonts w:ascii="仿宋_GB2312" w:hAnsi="等线" w:eastAsia="仿宋_GB2312" w:cs="宋体"/>
                <w:color w:val="000000"/>
                <w:kern w:val="0"/>
                <w:sz w:val="22"/>
                <w:szCs w:val="28"/>
              </w:rPr>
            </w:pPr>
          </w:p>
        </w:tc>
        <w:tc>
          <w:tcPr>
            <w:tcW w:w="1134" w:type="dxa"/>
            <w:vMerge w:val="continue"/>
            <w:tcBorders>
              <w:left w:val="nil"/>
              <w:bottom w:val="single" w:color="auto" w:sz="4" w:space="0"/>
              <w:right w:val="nil"/>
            </w:tcBorders>
            <w:shd w:val="clear" w:color="auto" w:fill="auto"/>
            <w:vAlign w:val="center"/>
          </w:tcPr>
          <w:p>
            <w:pPr>
              <w:widowControl/>
              <w:jc w:val="center"/>
              <w:rPr>
                <w:rFonts w:ascii="仿宋_GB2312" w:hAnsi="等线" w:eastAsia="仿宋_GB2312" w:cs="宋体"/>
                <w:color w:val="000000"/>
                <w:kern w:val="0"/>
                <w:sz w:val="22"/>
                <w:szCs w:val="28"/>
              </w:rPr>
            </w:pPr>
          </w:p>
        </w:tc>
        <w:tc>
          <w:tcPr>
            <w:tcW w:w="1843"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仿宋_GB2312" w:hAnsi="等线" w:eastAsia="仿宋_GB2312" w:cs="宋体"/>
                <w:color w:val="000000"/>
                <w:kern w:val="0"/>
                <w:sz w:val="22"/>
                <w:szCs w:val="28"/>
              </w:rPr>
            </w:pPr>
            <w:r>
              <w:rPr>
                <w:rFonts w:hint="eastAsia" w:ascii="仿宋_GB2312" w:hAnsi="等线" w:eastAsia="仿宋_GB2312" w:cs="宋体"/>
                <w:color w:val="000000"/>
                <w:kern w:val="0"/>
                <w:sz w:val="22"/>
                <w:szCs w:val="28"/>
              </w:rPr>
              <w:t>牵头行</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等线" w:eastAsia="仿宋_GB2312" w:cs="宋体"/>
                <w:color w:val="000000"/>
                <w:kern w:val="0"/>
                <w:sz w:val="22"/>
                <w:szCs w:val="28"/>
              </w:rPr>
            </w:pPr>
            <w:r>
              <w:rPr>
                <w:rFonts w:hint="eastAsia" w:ascii="仿宋_GB2312" w:hAnsi="等线" w:eastAsia="仿宋_GB2312" w:cs="宋体"/>
                <w:color w:val="000000"/>
                <w:kern w:val="0"/>
                <w:sz w:val="22"/>
                <w:szCs w:val="28"/>
              </w:rPr>
              <w:t>2家参贷行</w:t>
            </w:r>
          </w:p>
        </w:tc>
        <w:tc>
          <w:tcPr>
            <w:tcW w:w="850" w:type="dxa"/>
            <w:vMerge w:val="continue"/>
            <w:tcBorders>
              <w:left w:val="single" w:color="auto" w:sz="4" w:space="0"/>
              <w:bottom w:val="single" w:color="auto" w:sz="4" w:space="0"/>
              <w:right w:val="single" w:color="000000" w:sz="8" w:space="0"/>
            </w:tcBorders>
            <w:shd w:val="clear" w:color="auto" w:fill="auto"/>
            <w:vAlign w:val="center"/>
          </w:tcPr>
          <w:p>
            <w:pPr>
              <w:widowControl/>
              <w:jc w:val="center"/>
              <w:rPr>
                <w:rFonts w:ascii="仿宋_GB2312" w:hAnsi="等线" w:eastAsia="仿宋_GB2312" w:cs="宋体"/>
                <w:color w:val="000000"/>
                <w:kern w:val="0"/>
                <w:sz w:val="22"/>
                <w:szCs w:val="28"/>
              </w:rPr>
            </w:pPr>
          </w:p>
        </w:tc>
        <w:tc>
          <w:tcPr>
            <w:tcW w:w="733" w:type="dxa"/>
            <w:tcBorders>
              <w:left w:val="single" w:color="auto" w:sz="4" w:space="0"/>
              <w:bottom w:val="single" w:color="auto" w:sz="4" w:space="0"/>
              <w:right w:val="single" w:color="000000" w:sz="8" w:space="0"/>
            </w:tcBorders>
          </w:tcPr>
          <w:p>
            <w:pPr>
              <w:widowControl/>
              <w:rPr>
                <w:rFonts w:ascii="仿宋_GB2312" w:hAnsi="等线" w:eastAsia="仿宋_GB2312" w:cs="宋体"/>
                <w:color w:val="000000"/>
                <w:kern w:val="0"/>
                <w:sz w:val="22"/>
                <w:szCs w:val="28"/>
              </w:rPr>
            </w:pPr>
          </w:p>
        </w:tc>
      </w:tr>
      <w:tr>
        <w:tblPrEx>
          <w:tblCellMar>
            <w:top w:w="0" w:type="dxa"/>
            <w:left w:w="108" w:type="dxa"/>
            <w:bottom w:w="0" w:type="dxa"/>
            <w:right w:w="108" w:type="dxa"/>
          </w:tblCellMar>
        </w:tblPrEx>
        <w:trPr>
          <w:trHeight w:val="483" w:hRule="atLeast"/>
        </w:trPr>
        <w:tc>
          <w:tcPr>
            <w:tcW w:w="2552" w:type="dxa"/>
            <w:tcBorders>
              <w:top w:val="nil"/>
              <w:left w:val="single" w:color="auto" w:sz="8" w:space="0"/>
              <w:bottom w:val="single" w:color="auto" w:sz="4" w:space="0"/>
              <w:right w:val="single" w:color="auto" w:sz="4" w:space="0"/>
            </w:tcBorders>
            <w:shd w:val="clear" w:color="auto" w:fill="auto"/>
            <w:vAlign w:val="center"/>
          </w:tcPr>
          <w:p>
            <w:pPr>
              <w:widowControl/>
              <w:rPr>
                <w:rFonts w:ascii="仿宋_GB2312" w:hAnsi="等线" w:eastAsia="仿宋_GB2312" w:cs="宋体"/>
                <w:kern w:val="0"/>
                <w:sz w:val="22"/>
                <w:szCs w:val="28"/>
              </w:rPr>
            </w:pPr>
            <w:r>
              <w:rPr>
                <w:rFonts w:hint="eastAsia" w:ascii="仿宋_GB2312" w:hAnsi="等线" w:eastAsia="仿宋_GB2312" w:cs="宋体"/>
                <w:kern w:val="0"/>
                <w:sz w:val="22"/>
                <w:szCs w:val="28"/>
              </w:rPr>
              <w:t>奉贤新城21单元14-01区域地块保租房项目</w:t>
            </w:r>
          </w:p>
        </w:tc>
        <w:tc>
          <w:tcPr>
            <w:tcW w:w="1134" w:type="dxa"/>
            <w:tcBorders>
              <w:top w:val="nil"/>
              <w:left w:val="nil"/>
              <w:bottom w:val="single" w:color="auto" w:sz="4" w:space="0"/>
              <w:right w:val="nil"/>
            </w:tcBorders>
            <w:shd w:val="clear" w:color="auto" w:fill="auto"/>
            <w:vAlign w:val="center"/>
          </w:tcPr>
          <w:p>
            <w:pPr>
              <w:widowControl/>
              <w:jc w:val="center"/>
              <w:rPr>
                <w:rFonts w:ascii="仿宋_GB2312" w:hAnsi="等线" w:eastAsia="仿宋_GB2312" w:cs="宋体"/>
                <w:kern w:val="0"/>
                <w:sz w:val="22"/>
                <w:szCs w:val="28"/>
              </w:rPr>
            </w:pPr>
            <w:r>
              <w:rPr>
                <w:rFonts w:ascii="仿宋_GB2312" w:hAnsi="等线" w:eastAsia="仿宋_GB2312" w:cs="宋体"/>
                <w:kern w:val="0"/>
                <w:sz w:val="22"/>
                <w:szCs w:val="28"/>
              </w:rPr>
              <w:t>9.7</w:t>
            </w:r>
          </w:p>
        </w:tc>
        <w:tc>
          <w:tcPr>
            <w:tcW w:w="184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等线" w:eastAsia="仿宋_GB2312" w:cs="宋体"/>
                <w:kern w:val="0"/>
                <w:sz w:val="22"/>
                <w:szCs w:val="28"/>
              </w:rPr>
            </w:pPr>
            <w:r>
              <w:rPr>
                <w:rFonts w:hint="eastAsia" w:ascii="仿宋_GB2312" w:hAnsi="等线" w:eastAsia="仿宋_GB2312" w:cs="宋体"/>
                <w:kern w:val="0"/>
                <w:sz w:val="22"/>
                <w:szCs w:val="28"/>
              </w:rPr>
              <w:t>全额申报</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等线" w:eastAsia="仿宋_GB2312" w:cs="宋体"/>
                <w:kern w:val="0"/>
                <w:sz w:val="22"/>
                <w:szCs w:val="28"/>
              </w:rPr>
            </w:pPr>
            <w:r>
              <w:rPr>
                <w:rFonts w:hint="eastAsia" w:ascii="仿宋_GB2312" w:hAnsi="等线" w:eastAsia="仿宋_GB2312" w:cs="宋体"/>
                <w:kern w:val="0"/>
                <w:sz w:val="22"/>
                <w:szCs w:val="28"/>
              </w:rPr>
              <w:t>不超过</w:t>
            </w:r>
            <w:r>
              <w:rPr>
                <w:rFonts w:ascii="仿宋_GB2312" w:hAnsi="等线" w:eastAsia="仿宋_GB2312" w:cs="宋体"/>
                <w:kern w:val="0"/>
                <w:sz w:val="22"/>
                <w:szCs w:val="28"/>
              </w:rPr>
              <w:t>2.9</w:t>
            </w:r>
            <w:r>
              <w:rPr>
                <w:rFonts w:hint="eastAsia" w:ascii="仿宋_GB2312" w:hAnsi="等线" w:eastAsia="仿宋_GB2312" w:cs="宋体"/>
                <w:kern w:val="0"/>
                <w:sz w:val="22"/>
                <w:szCs w:val="28"/>
              </w:rPr>
              <w:t>亿</w:t>
            </w:r>
          </w:p>
        </w:tc>
        <w:tc>
          <w:tcPr>
            <w:tcW w:w="850"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_GB2312" w:hAnsi="等线" w:eastAsia="仿宋_GB2312" w:cs="宋体"/>
                <w:kern w:val="0"/>
                <w:sz w:val="22"/>
                <w:szCs w:val="28"/>
              </w:rPr>
            </w:pPr>
            <w:r>
              <w:rPr>
                <w:rFonts w:ascii="仿宋_GB2312" w:hAnsi="等线" w:eastAsia="仿宋_GB2312" w:cs="宋体"/>
                <w:kern w:val="0"/>
                <w:sz w:val="22"/>
                <w:szCs w:val="28"/>
              </w:rPr>
              <w:t>25</w:t>
            </w:r>
            <w:r>
              <w:rPr>
                <w:rFonts w:hint="eastAsia" w:ascii="仿宋_GB2312" w:hAnsi="等线" w:eastAsia="仿宋_GB2312" w:cs="宋体"/>
                <w:kern w:val="0"/>
                <w:sz w:val="22"/>
                <w:szCs w:val="28"/>
              </w:rPr>
              <w:t>年</w:t>
            </w:r>
          </w:p>
        </w:tc>
        <w:tc>
          <w:tcPr>
            <w:tcW w:w="733" w:type="dxa"/>
            <w:tcBorders>
              <w:top w:val="nil"/>
              <w:left w:val="single" w:color="auto" w:sz="4" w:space="0"/>
              <w:bottom w:val="single" w:color="auto" w:sz="4" w:space="0"/>
              <w:right w:val="single" w:color="auto" w:sz="8" w:space="0"/>
            </w:tcBorders>
          </w:tcPr>
          <w:p>
            <w:pPr>
              <w:widowControl/>
              <w:spacing w:line="480" w:lineRule="auto"/>
              <w:jc w:val="center"/>
              <w:rPr>
                <w:rFonts w:ascii="仿宋_GB2312" w:hAnsi="等线" w:eastAsia="仿宋_GB2312" w:cs="宋体"/>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505" w:type="dxa"/>
            <w:gridSpan w:val="5"/>
          </w:tcPr>
          <w:p>
            <w:pPr>
              <w:adjustRightInd w:val="0"/>
              <w:snapToGrid w:val="0"/>
              <w:spacing w:before="100" w:beforeAutospacing="1" w:after="100" w:afterAutospacing="1" w:line="360" w:lineRule="auto"/>
              <w:jc w:val="left"/>
              <w:rPr>
                <w:rFonts w:ascii="仿宋_GB2312" w:hAnsi="宋体" w:eastAsia="仿宋_GB2312"/>
                <w:bCs/>
                <w:sz w:val="22"/>
                <w:szCs w:val="28"/>
              </w:rPr>
            </w:pPr>
            <w:r>
              <w:rPr>
                <w:rFonts w:hint="eastAsia" w:ascii="仿宋_GB2312" w:hAnsi="宋体" w:eastAsia="仿宋_GB2312"/>
                <w:bCs/>
                <w:sz w:val="22"/>
                <w:szCs w:val="28"/>
              </w:rPr>
              <w:t>备注：1、银团贷款中牵头行额度以中标通知书为准，须以投标项目所需融资额度全额上报授信，参贷行以中标通知书所分额度上报。2、如果出现参贷行无法实现提款的情况，则牵头行承诺全额放贷。</w:t>
            </w:r>
          </w:p>
        </w:tc>
        <w:tc>
          <w:tcPr>
            <w:tcW w:w="733" w:type="dxa"/>
          </w:tcPr>
          <w:p>
            <w:pPr>
              <w:adjustRightInd w:val="0"/>
              <w:snapToGrid w:val="0"/>
              <w:spacing w:before="100" w:beforeAutospacing="1" w:after="100" w:afterAutospacing="1" w:line="360" w:lineRule="auto"/>
              <w:jc w:val="left"/>
              <w:rPr>
                <w:rFonts w:ascii="仿宋_GB2312" w:hAnsi="宋体" w:eastAsia="仿宋_GB2312"/>
                <w:bCs/>
                <w:sz w:val="22"/>
                <w:szCs w:val="28"/>
              </w:rPr>
            </w:pPr>
          </w:p>
        </w:tc>
      </w:tr>
    </w:tbl>
    <w:p>
      <w:pPr>
        <w:adjustRightInd w:val="0"/>
        <w:snapToGrid w:val="0"/>
        <w:spacing w:before="100" w:beforeAutospacing="1" w:after="100" w:afterAutospacing="1" w:line="360" w:lineRule="auto"/>
        <w:ind w:firstLine="600" w:firstLineChars="200"/>
        <w:rPr>
          <w:rFonts w:ascii="仿宋_GB2312" w:hAnsi="宋体" w:eastAsia="仿宋_GB2312"/>
        </w:rPr>
      </w:pPr>
      <w:bookmarkStart w:id="5" w:name="_Hlk165982539"/>
      <w:r>
        <w:rPr>
          <w:rFonts w:hint="eastAsia" w:ascii="仿宋_GB2312" w:hAnsi="宋体" w:eastAsia="仿宋_GB2312"/>
        </w:rPr>
        <w:t>目前项目已完成概念方案设计，</w:t>
      </w:r>
      <w:bookmarkEnd w:id="5"/>
      <w:r>
        <w:rPr>
          <w:rFonts w:hint="eastAsia" w:ascii="仿宋_GB2312" w:hAnsi="宋体" w:eastAsia="仿宋_GB2312"/>
        </w:rPr>
        <w:t>上报发改委审核中。</w:t>
      </w:r>
      <w:bookmarkStart w:id="6" w:name="_Hlk165982603"/>
      <w:r>
        <w:rPr>
          <w:rFonts w:hint="eastAsia" w:ascii="仿宋_GB2312" w:hAnsi="宋体" w:eastAsia="仿宋_GB2312"/>
        </w:rPr>
        <w:t>该项目预计于2024年9月开始用款，具体贷款日期视项目进展情况而定</w:t>
      </w:r>
      <w:bookmarkEnd w:id="6"/>
      <w:r>
        <w:rPr>
          <w:rFonts w:hint="eastAsia" w:ascii="仿宋_GB2312" w:hAnsi="宋体" w:eastAsia="仿宋_GB2312"/>
        </w:rPr>
        <w:t>；项目贷款原则上采用银团方式，所有贷款成本均需体现在贷款合同中，投标人不得收取任何其他费用。</w:t>
      </w:r>
    </w:p>
    <w:p>
      <w:pPr>
        <w:adjustRightInd w:val="0"/>
        <w:snapToGrid w:val="0"/>
        <w:spacing w:before="100" w:beforeAutospacing="1" w:after="100" w:afterAutospacing="1" w:line="360" w:lineRule="auto"/>
        <w:ind w:firstLine="600" w:firstLineChars="200"/>
        <w:rPr>
          <w:rFonts w:ascii="仿宋_GB2312" w:hAnsi="宋体" w:eastAsia="仿宋_GB2312"/>
        </w:rPr>
      </w:pPr>
    </w:p>
    <w:p>
      <w:pPr>
        <w:adjustRightInd w:val="0"/>
        <w:snapToGrid w:val="0"/>
        <w:spacing w:before="100" w:beforeAutospacing="1" w:after="100" w:afterAutospacing="1" w:line="360" w:lineRule="auto"/>
        <w:ind w:firstLine="600" w:firstLineChars="200"/>
        <w:rPr>
          <w:rFonts w:ascii="仿宋_GB2312" w:hAnsi="宋体" w:eastAsia="仿宋_GB2312"/>
        </w:rPr>
      </w:pPr>
    </w:p>
    <w:p>
      <w:pPr>
        <w:spacing w:before="100" w:beforeAutospacing="1" w:after="100" w:afterAutospacing="1" w:line="500" w:lineRule="exact"/>
        <w:ind w:firstLine="450"/>
        <w:jc w:val="center"/>
        <w:rPr>
          <w:rFonts w:asciiTheme="minorEastAsia" w:hAnsiTheme="minorEastAsia" w:eastAsiaTheme="minorEastAsia"/>
          <w:b/>
          <w:spacing w:val="28"/>
          <w:sz w:val="32"/>
          <w:szCs w:val="32"/>
        </w:rPr>
      </w:pPr>
      <w:r>
        <w:rPr>
          <w:rFonts w:hint="eastAsia" w:asciiTheme="minorEastAsia" w:hAnsiTheme="minorEastAsia" w:eastAsiaTheme="minorEastAsia"/>
          <w:b/>
          <w:bCs/>
          <w:sz w:val="32"/>
          <w:szCs w:val="32"/>
        </w:rPr>
        <w:t xml:space="preserve">第三章    </w:t>
      </w:r>
      <w:r>
        <w:rPr>
          <w:rFonts w:hint="eastAsia" w:asciiTheme="minorEastAsia" w:hAnsiTheme="minorEastAsia" w:eastAsiaTheme="minorEastAsia"/>
          <w:b/>
          <w:spacing w:val="28"/>
          <w:sz w:val="32"/>
          <w:szCs w:val="32"/>
        </w:rPr>
        <w:t>评标办法</w:t>
      </w:r>
    </w:p>
    <w:p>
      <w:pPr>
        <w:spacing w:before="100" w:beforeAutospacing="1" w:after="100" w:afterAutospacing="1" w:line="500" w:lineRule="exact"/>
        <w:ind w:firstLine="602" w:firstLineChars="200"/>
        <w:rPr>
          <w:rFonts w:ascii="仿宋_GB2312" w:hAnsi="宋体" w:eastAsia="仿宋_GB2312"/>
          <w:bCs/>
          <w:szCs w:val="30"/>
        </w:rPr>
      </w:pPr>
      <w:r>
        <w:rPr>
          <w:rFonts w:hint="eastAsia" w:ascii="仿宋_GB2312" w:hAnsi="宋体" w:eastAsia="仿宋_GB2312"/>
          <w:b/>
          <w:bCs/>
          <w:szCs w:val="30"/>
        </w:rPr>
        <w:t xml:space="preserve">一、评标方法  </w:t>
      </w:r>
      <w:r>
        <w:rPr>
          <w:rFonts w:hint="eastAsia" w:ascii="仿宋_GB2312" w:hAnsi="宋体" w:eastAsia="仿宋_GB2312"/>
          <w:bCs/>
          <w:szCs w:val="30"/>
        </w:rPr>
        <w:t>本次评标采用综合评分法，总分为100分。</w:t>
      </w:r>
    </w:p>
    <w:p>
      <w:pPr>
        <w:adjustRightInd w:val="0"/>
        <w:snapToGrid w:val="0"/>
        <w:spacing w:before="100" w:beforeAutospacing="1" w:after="100" w:afterAutospacing="1" w:line="500" w:lineRule="exact"/>
        <w:ind w:firstLine="602" w:firstLineChars="200"/>
        <w:jc w:val="left"/>
        <w:rPr>
          <w:rFonts w:ascii="仿宋_GB2312" w:hAnsi="宋体" w:eastAsia="仿宋_GB2312"/>
          <w:bCs/>
          <w:szCs w:val="30"/>
        </w:rPr>
      </w:pPr>
      <w:r>
        <w:rPr>
          <w:rFonts w:hint="eastAsia" w:ascii="仿宋_GB2312" w:hAnsi="宋体" w:eastAsia="仿宋_GB2312"/>
          <w:b/>
          <w:bCs/>
          <w:szCs w:val="30"/>
        </w:rPr>
        <w:t xml:space="preserve">二、评标委员会  </w:t>
      </w:r>
      <w:r>
        <w:rPr>
          <w:rFonts w:hint="eastAsia" w:ascii="仿宋_GB2312" w:hAnsi="宋体" w:eastAsia="仿宋_GB2312"/>
          <w:bCs/>
          <w:szCs w:val="30"/>
        </w:rPr>
        <w:t>评标委员会成员组建由奉发集团确定。</w:t>
      </w:r>
    </w:p>
    <w:p>
      <w:pPr>
        <w:adjustRightInd w:val="0"/>
        <w:snapToGrid w:val="0"/>
        <w:spacing w:before="100" w:beforeAutospacing="1" w:after="100" w:afterAutospacing="1" w:line="500" w:lineRule="exact"/>
        <w:ind w:firstLine="602" w:firstLineChars="200"/>
        <w:jc w:val="left"/>
        <w:rPr>
          <w:rFonts w:ascii="仿宋_GB2312" w:hAnsi="宋体" w:eastAsia="仿宋_GB2312"/>
          <w:bCs/>
          <w:szCs w:val="30"/>
        </w:rPr>
      </w:pPr>
      <w:r>
        <w:rPr>
          <w:rFonts w:hint="eastAsia" w:ascii="仿宋_GB2312" w:hAnsi="宋体" w:eastAsia="仿宋_GB2312"/>
          <w:b/>
          <w:bCs/>
          <w:szCs w:val="30"/>
        </w:rPr>
        <w:t xml:space="preserve">三、评标原则  </w:t>
      </w:r>
      <w:r>
        <w:rPr>
          <w:rFonts w:hint="eastAsia" w:ascii="仿宋_GB2312" w:hAnsi="宋体" w:eastAsia="仿宋_GB2312"/>
          <w:bCs/>
          <w:szCs w:val="30"/>
        </w:rPr>
        <w:t>评标工作依据《中华人民共和国招标投标法》等相关规定，遵循“公开、公平、公正、择优、信用”的原则进行。</w:t>
      </w:r>
    </w:p>
    <w:p>
      <w:pPr>
        <w:spacing w:before="100" w:beforeAutospacing="1" w:after="100" w:afterAutospacing="1" w:line="500" w:lineRule="exact"/>
        <w:ind w:firstLine="602" w:firstLineChars="200"/>
        <w:rPr>
          <w:rFonts w:ascii="仿宋_GB2312" w:hAnsi="宋体" w:eastAsia="仿宋_GB2312"/>
          <w:bCs/>
          <w:szCs w:val="30"/>
        </w:rPr>
      </w:pPr>
      <w:r>
        <w:rPr>
          <w:rFonts w:hint="eastAsia" w:ascii="仿宋_GB2312" w:hAnsi="宋体" w:eastAsia="仿宋_GB2312"/>
          <w:b/>
          <w:bCs/>
          <w:szCs w:val="30"/>
        </w:rPr>
        <w:t xml:space="preserve">四、中标人的确定  </w:t>
      </w:r>
      <w:r>
        <w:rPr>
          <w:rFonts w:hint="eastAsia" w:ascii="仿宋_GB2312" w:hAnsi="宋体" w:eastAsia="仿宋_GB2312"/>
          <w:bCs/>
          <w:szCs w:val="30"/>
        </w:rPr>
        <w:t>依据评标委员会对合格投标人的评分结果，以得分从高到低排序，入选银行上限为</w:t>
      </w:r>
      <w:r>
        <w:rPr>
          <w:rFonts w:ascii="仿宋_GB2312" w:hAnsi="宋体" w:eastAsia="仿宋_GB2312"/>
          <w:bCs/>
          <w:szCs w:val="30"/>
        </w:rPr>
        <w:t>3</w:t>
      </w:r>
      <w:r>
        <w:rPr>
          <w:rFonts w:hint="eastAsia" w:ascii="仿宋_GB2312" w:hAnsi="宋体" w:eastAsia="仿宋_GB2312"/>
          <w:bCs/>
          <w:szCs w:val="30"/>
        </w:rPr>
        <w:t>家，银团成员数量以中标通知书为准。因不可抗力、相关政策等原因导致原中标银行不能履行协议的，由后续排名银行按顺序自然替补。</w:t>
      </w:r>
    </w:p>
    <w:p>
      <w:pPr>
        <w:spacing w:before="100" w:beforeAutospacing="1" w:after="100" w:afterAutospacing="1" w:line="500" w:lineRule="exact"/>
        <w:ind w:firstLine="602" w:firstLineChars="200"/>
        <w:rPr>
          <w:rFonts w:ascii="仿宋_GB2312" w:hAnsi="宋体" w:eastAsia="仿宋_GB2312"/>
          <w:bCs/>
          <w:szCs w:val="30"/>
        </w:rPr>
      </w:pPr>
      <w:r>
        <w:rPr>
          <w:rFonts w:hint="eastAsia" w:ascii="仿宋_GB2312" w:hAnsi="宋体" w:eastAsia="仿宋_GB2312"/>
          <w:b/>
          <w:bCs/>
          <w:szCs w:val="30"/>
        </w:rPr>
        <w:t>五、中标通知的发放</w:t>
      </w:r>
      <w:r>
        <w:rPr>
          <w:rFonts w:hint="eastAsia" w:ascii="仿宋_GB2312" w:hAnsi="宋体" w:eastAsia="仿宋_GB2312"/>
          <w:bCs/>
          <w:szCs w:val="30"/>
        </w:rPr>
        <w:t xml:space="preserve">  根据评标委员会的评定结果，于20</w:t>
      </w:r>
      <w:r>
        <w:rPr>
          <w:rFonts w:ascii="仿宋_GB2312" w:hAnsi="宋体" w:eastAsia="仿宋_GB2312"/>
          <w:bCs/>
          <w:szCs w:val="30"/>
        </w:rPr>
        <w:t>24</w:t>
      </w:r>
      <w:r>
        <w:rPr>
          <w:rFonts w:hint="eastAsia" w:ascii="仿宋_GB2312" w:hAnsi="宋体" w:eastAsia="仿宋_GB2312"/>
          <w:bCs/>
          <w:szCs w:val="30"/>
        </w:rPr>
        <w:t>年</w:t>
      </w:r>
      <w:r>
        <w:rPr>
          <w:rFonts w:ascii="仿宋_GB2312" w:hAnsi="宋体" w:eastAsia="仿宋_GB2312"/>
          <w:bCs/>
          <w:szCs w:val="30"/>
        </w:rPr>
        <w:t>5</w:t>
      </w:r>
      <w:r>
        <w:rPr>
          <w:rFonts w:hint="eastAsia" w:ascii="仿宋_GB2312" w:hAnsi="宋体" w:eastAsia="仿宋_GB2312"/>
          <w:bCs/>
          <w:szCs w:val="30"/>
        </w:rPr>
        <w:t>月31日前以书面形式向中标人发放中标通知书。</w:t>
      </w:r>
    </w:p>
    <w:p>
      <w:pPr>
        <w:spacing w:before="100" w:beforeAutospacing="1" w:after="100" w:afterAutospacing="1" w:line="500" w:lineRule="exact"/>
        <w:ind w:firstLine="602" w:firstLineChars="200"/>
        <w:rPr>
          <w:rFonts w:ascii="仿宋_GB2312" w:hAnsi="宋体" w:eastAsia="仿宋_GB2312"/>
          <w:bCs/>
          <w:szCs w:val="30"/>
        </w:rPr>
      </w:pPr>
      <w:r>
        <w:rPr>
          <w:rFonts w:hint="eastAsia" w:ascii="仿宋_GB2312" w:hAnsi="宋体" w:eastAsia="仿宋_GB2312"/>
          <w:b/>
          <w:bCs/>
          <w:szCs w:val="30"/>
        </w:rPr>
        <w:t xml:space="preserve">六、中标结果的实施  </w:t>
      </w:r>
      <w:r>
        <w:rPr>
          <w:rFonts w:hint="eastAsia" w:ascii="仿宋_GB2312" w:hAnsi="宋体" w:eastAsia="仿宋_GB2312"/>
          <w:bCs/>
          <w:szCs w:val="30"/>
        </w:rPr>
        <w:t>中标结果生效后，招标人和中标人进入贷款具体操作程序，中标人按中标结果和投标文件并结合本集团及下属子公司实际融资需求进行实施。</w:t>
      </w:r>
    </w:p>
    <w:p>
      <w:pPr>
        <w:spacing w:before="100" w:beforeAutospacing="1" w:after="100" w:afterAutospacing="1" w:line="500" w:lineRule="exact"/>
        <w:ind w:firstLine="602" w:firstLineChars="200"/>
        <w:rPr>
          <w:rFonts w:ascii="仿宋_GB2312" w:hAnsi="宋体" w:eastAsia="仿宋_GB2312"/>
          <w:bCs/>
          <w:szCs w:val="30"/>
        </w:rPr>
      </w:pPr>
      <w:r>
        <w:rPr>
          <w:rFonts w:hint="eastAsia" w:ascii="仿宋_GB2312" w:hAnsi="宋体" w:eastAsia="仿宋_GB2312"/>
          <w:b/>
          <w:bCs/>
          <w:szCs w:val="30"/>
        </w:rPr>
        <w:t>七、约束机制</w:t>
      </w:r>
      <w:r>
        <w:rPr>
          <w:rFonts w:hint="eastAsia" w:ascii="仿宋_GB2312" w:hAnsi="宋体" w:eastAsia="仿宋_GB2312"/>
          <w:bCs/>
          <w:szCs w:val="30"/>
        </w:rPr>
        <w:t xml:space="preserve">  中标人如在具体操作中未能按投标承诺进行操作的，招标人有权将中标人相关情况抄报至区金融办，并取消下一次投标资格。</w:t>
      </w:r>
    </w:p>
    <w:p>
      <w:pPr>
        <w:spacing w:before="100" w:beforeAutospacing="1" w:after="100" w:afterAutospacing="1" w:line="500" w:lineRule="exact"/>
        <w:ind w:firstLine="600" w:firstLineChars="200"/>
        <w:rPr>
          <w:rFonts w:ascii="仿宋_GB2312" w:hAnsi="宋体" w:eastAsia="仿宋_GB2312"/>
          <w:bCs/>
          <w:szCs w:val="30"/>
        </w:rPr>
      </w:pPr>
    </w:p>
    <w:p>
      <w:pPr>
        <w:spacing w:before="100" w:beforeAutospacing="1" w:after="100" w:afterAutospacing="1" w:line="500" w:lineRule="exact"/>
        <w:ind w:firstLine="600" w:firstLineChars="200"/>
        <w:rPr>
          <w:rFonts w:ascii="仿宋_GB2312" w:hAnsi="宋体" w:eastAsia="仿宋_GB2312"/>
          <w:bCs/>
          <w:szCs w:val="30"/>
        </w:rPr>
      </w:pPr>
    </w:p>
    <w:p>
      <w:pPr>
        <w:spacing w:before="100" w:beforeAutospacing="1" w:after="100" w:afterAutospacing="1" w:line="500" w:lineRule="exact"/>
        <w:ind w:firstLine="600" w:firstLineChars="200"/>
        <w:rPr>
          <w:rFonts w:ascii="仿宋_GB2312" w:hAnsi="宋体" w:eastAsia="仿宋_GB2312"/>
          <w:bCs/>
          <w:szCs w:val="30"/>
        </w:rPr>
      </w:pPr>
    </w:p>
    <w:p>
      <w:pPr>
        <w:spacing w:before="100" w:beforeAutospacing="1" w:after="100" w:afterAutospacing="1" w:line="500" w:lineRule="exact"/>
        <w:rPr>
          <w:rFonts w:ascii="仿宋_GB2312" w:hAnsi="宋体" w:eastAsia="仿宋_GB2312"/>
          <w:bCs/>
          <w:szCs w:val="30"/>
        </w:rPr>
      </w:pPr>
    </w:p>
    <w:p>
      <w:pPr>
        <w:spacing w:before="100" w:beforeAutospacing="1" w:after="100" w:afterAutospacing="1" w:line="500" w:lineRule="exact"/>
        <w:ind w:firstLine="602" w:firstLineChars="200"/>
        <w:rPr>
          <w:rFonts w:ascii="仿宋_GB2312" w:eastAsia="仿宋_GB2312" w:hAnsiTheme="minorEastAsia"/>
          <w:b/>
          <w:bCs/>
          <w:szCs w:val="30"/>
        </w:rPr>
      </w:pPr>
      <w:r>
        <w:rPr>
          <w:rFonts w:hint="eastAsia" w:ascii="仿宋_GB2312" w:eastAsia="仿宋_GB2312" w:hAnsiTheme="minorEastAsia"/>
          <w:b/>
          <w:bCs/>
          <w:szCs w:val="30"/>
        </w:rPr>
        <w:t>八、项目贷款评分细则</w:t>
      </w:r>
    </w:p>
    <w:tbl>
      <w:tblPr>
        <w:tblStyle w:val="32"/>
        <w:tblW w:w="10300" w:type="dxa"/>
        <w:jc w:val="center"/>
        <w:tblLayout w:type="fixed"/>
        <w:tblCellMar>
          <w:top w:w="0" w:type="dxa"/>
          <w:left w:w="108" w:type="dxa"/>
          <w:bottom w:w="0" w:type="dxa"/>
          <w:right w:w="108" w:type="dxa"/>
        </w:tblCellMar>
      </w:tblPr>
      <w:tblGrid>
        <w:gridCol w:w="994"/>
        <w:gridCol w:w="1748"/>
        <w:gridCol w:w="708"/>
        <w:gridCol w:w="6179"/>
        <w:gridCol w:w="671"/>
      </w:tblGrid>
      <w:tr>
        <w:tblPrEx>
          <w:tblCellMar>
            <w:top w:w="0" w:type="dxa"/>
            <w:left w:w="108" w:type="dxa"/>
            <w:bottom w:w="0" w:type="dxa"/>
            <w:right w:w="108" w:type="dxa"/>
          </w:tblCellMar>
        </w:tblPrEx>
        <w:trPr>
          <w:trHeight w:val="691" w:hRule="atLeast"/>
          <w:jc w:val="center"/>
        </w:trPr>
        <w:tc>
          <w:tcPr>
            <w:tcW w:w="10300" w:type="dxa"/>
            <w:gridSpan w:val="5"/>
            <w:tcBorders>
              <w:top w:val="single" w:color="auto" w:sz="8" w:space="0"/>
              <w:left w:val="single" w:color="auto" w:sz="8" w:space="0"/>
              <w:bottom w:val="single" w:color="auto" w:sz="4" w:space="0"/>
              <w:right w:val="single" w:color="auto" w:sz="8" w:space="0"/>
            </w:tcBorders>
            <w:vAlign w:val="center"/>
          </w:tcPr>
          <w:p>
            <w:pPr>
              <w:widowControl/>
              <w:spacing w:line="500" w:lineRule="exact"/>
              <w:jc w:val="center"/>
              <w:rPr>
                <w:rFonts w:ascii="仿宋_GB2312" w:hAnsi="宋体" w:eastAsia="仿宋_GB2312"/>
                <w:b/>
                <w:bCs/>
                <w:kern w:val="0"/>
                <w:sz w:val="21"/>
                <w:szCs w:val="21"/>
                <w:u w:val="single"/>
              </w:rPr>
            </w:pPr>
            <w:r>
              <w:rPr>
                <w:rFonts w:hint="eastAsia" w:ascii="仿宋_GB2312" w:hAnsi="宋体" w:eastAsia="仿宋_GB2312" w:cs="仿宋_GB2312"/>
                <w:b/>
                <w:bCs/>
                <w:kern w:val="0"/>
                <w:sz w:val="24"/>
                <w:szCs w:val="24"/>
                <w:u w:val="single"/>
              </w:rPr>
              <w:t>奉贤新城21单元14-01区域地块保租房项目</w:t>
            </w:r>
          </w:p>
        </w:tc>
      </w:tr>
      <w:tr>
        <w:tblPrEx>
          <w:tblCellMar>
            <w:top w:w="0" w:type="dxa"/>
            <w:left w:w="108" w:type="dxa"/>
            <w:bottom w:w="0" w:type="dxa"/>
            <w:right w:w="108" w:type="dxa"/>
          </w:tblCellMar>
        </w:tblPrEx>
        <w:trPr>
          <w:trHeight w:val="542" w:hRule="atLeast"/>
          <w:jc w:val="center"/>
        </w:trPr>
        <w:tc>
          <w:tcPr>
            <w:tcW w:w="994" w:type="dxa"/>
            <w:tcBorders>
              <w:top w:val="single" w:color="auto" w:sz="8" w:space="0"/>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b/>
                <w:bCs/>
                <w:kern w:val="0"/>
                <w:sz w:val="21"/>
                <w:szCs w:val="21"/>
              </w:rPr>
            </w:pPr>
            <w:r>
              <w:rPr>
                <w:rFonts w:hint="eastAsia" w:ascii="仿宋_GB2312" w:hAnsi="宋体" w:eastAsia="仿宋_GB2312" w:cs="仿宋_GB2312"/>
                <w:b/>
                <w:bCs/>
                <w:kern w:val="0"/>
                <w:sz w:val="21"/>
                <w:szCs w:val="21"/>
              </w:rPr>
              <w:t>序号</w:t>
            </w:r>
          </w:p>
        </w:tc>
        <w:tc>
          <w:tcPr>
            <w:tcW w:w="1748" w:type="dxa"/>
            <w:tcBorders>
              <w:top w:val="single" w:color="auto" w:sz="8" w:space="0"/>
              <w:left w:val="nil"/>
              <w:bottom w:val="single" w:color="auto" w:sz="4" w:space="0"/>
              <w:right w:val="single" w:color="auto" w:sz="4" w:space="0"/>
            </w:tcBorders>
            <w:vAlign w:val="center"/>
          </w:tcPr>
          <w:p>
            <w:pPr>
              <w:widowControl/>
              <w:spacing w:line="500" w:lineRule="exact"/>
              <w:jc w:val="center"/>
              <w:rPr>
                <w:rFonts w:ascii="仿宋_GB2312" w:hAnsi="宋体" w:eastAsia="仿宋_GB2312" w:cs="仿宋_GB2312"/>
                <w:b/>
                <w:bCs/>
                <w:kern w:val="0"/>
                <w:sz w:val="21"/>
                <w:szCs w:val="21"/>
              </w:rPr>
            </w:pPr>
            <w:r>
              <w:rPr>
                <w:rFonts w:hint="eastAsia" w:ascii="仿宋_GB2312" w:hAnsi="宋体" w:eastAsia="仿宋_GB2312" w:cs="仿宋_GB2312"/>
                <w:b/>
                <w:bCs/>
                <w:kern w:val="0"/>
                <w:sz w:val="21"/>
                <w:szCs w:val="21"/>
              </w:rPr>
              <w:t>评审内容</w:t>
            </w:r>
          </w:p>
        </w:tc>
        <w:tc>
          <w:tcPr>
            <w:tcW w:w="708" w:type="dxa"/>
            <w:tcBorders>
              <w:top w:val="single" w:color="auto" w:sz="8" w:space="0"/>
              <w:left w:val="nil"/>
              <w:bottom w:val="single" w:color="auto" w:sz="4" w:space="0"/>
              <w:right w:val="single" w:color="auto" w:sz="4" w:space="0"/>
            </w:tcBorders>
            <w:vAlign w:val="center"/>
          </w:tcPr>
          <w:p>
            <w:pPr>
              <w:widowControl/>
              <w:spacing w:line="500" w:lineRule="exact"/>
              <w:jc w:val="center"/>
              <w:rPr>
                <w:rFonts w:ascii="仿宋_GB2312" w:hAnsi="宋体" w:eastAsia="仿宋_GB2312" w:cs="仿宋_GB2312"/>
                <w:b/>
                <w:bCs/>
                <w:kern w:val="0"/>
                <w:sz w:val="21"/>
                <w:szCs w:val="21"/>
              </w:rPr>
            </w:pPr>
            <w:r>
              <w:rPr>
                <w:rFonts w:hint="eastAsia" w:ascii="仿宋_GB2312" w:hAnsi="宋体" w:eastAsia="仿宋_GB2312" w:cs="仿宋_GB2312"/>
                <w:b/>
                <w:bCs/>
                <w:kern w:val="0"/>
                <w:sz w:val="21"/>
                <w:szCs w:val="21"/>
              </w:rPr>
              <w:t>分值</w:t>
            </w:r>
          </w:p>
        </w:tc>
        <w:tc>
          <w:tcPr>
            <w:tcW w:w="6179" w:type="dxa"/>
            <w:tcBorders>
              <w:top w:val="single" w:color="auto" w:sz="8" w:space="0"/>
              <w:left w:val="nil"/>
              <w:bottom w:val="single" w:color="auto" w:sz="4" w:space="0"/>
              <w:right w:val="single" w:color="auto" w:sz="4" w:space="0"/>
            </w:tcBorders>
            <w:vAlign w:val="center"/>
          </w:tcPr>
          <w:p>
            <w:pPr>
              <w:widowControl/>
              <w:spacing w:line="500" w:lineRule="exact"/>
              <w:jc w:val="center"/>
              <w:rPr>
                <w:rFonts w:ascii="仿宋_GB2312" w:hAnsi="宋体" w:eastAsia="仿宋_GB2312" w:cs="仿宋_GB2312"/>
                <w:b/>
                <w:bCs/>
                <w:kern w:val="0"/>
                <w:sz w:val="21"/>
                <w:szCs w:val="21"/>
              </w:rPr>
            </w:pPr>
            <w:r>
              <w:rPr>
                <w:rFonts w:hint="eastAsia" w:ascii="仿宋_GB2312" w:hAnsi="宋体" w:eastAsia="仿宋_GB2312" w:cs="仿宋_GB2312"/>
                <w:b/>
                <w:bCs/>
                <w:kern w:val="0"/>
                <w:sz w:val="21"/>
                <w:szCs w:val="21"/>
              </w:rPr>
              <w:t>评分计算公式</w:t>
            </w:r>
          </w:p>
        </w:tc>
        <w:tc>
          <w:tcPr>
            <w:tcW w:w="671" w:type="dxa"/>
            <w:tcBorders>
              <w:top w:val="single" w:color="auto" w:sz="8" w:space="0"/>
              <w:left w:val="nil"/>
              <w:bottom w:val="single" w:color="auto" w:sz="4" w:space="0"/>
              <w:right w:val="single" w:color="auto" w:sz="8" w:space="0"/>
            </w:tcBorders>
            <w:vAlign w:val="center"/>
          </w:tcPr>
          <w:p>
            <w:pPr>
              <w:widowControl/>
              <w:spacing w:line="500" w:lineRule="exact"/>
              <w:jc w:val="center"/>
              <w:rPr>
                <w:rFonts w:ascii="仿宋_GB2312" w:hAnsi="宋体" w:eastAsia="仿宋_GB2312" w:cs="仿宋_GB2312"/>
                <w:b/>
                <w:bCs/>
                <w:kern w:val="0"/>
                <w:sz w:val="21"/>
                <w:szCs w:val="21"/>
              </w:rPr>
            </w:pPr>
            <w:r>
              <w:rPr>
                <w:rFonts w:hint="eastAsia" w:ascii="仿宋_GB2312" w:hAnsi="宋体" w:eastAsia="仿宋_GB2312" w:cs="仿宋_GB2312"/>
                <w:b/>
                <w:bCs/>
                <w:kern w:val="0"/>
                <w:sz w:val="21"/>
                <w:szCs w:val="21"/>
              </w:rPr>
              <w:t>得分</w:t>
            </w:r>
          </w:p>
        </w:tc>
      </w:tr>
      <w:tr>
        <w:tblPrEx>
          <w:tblCellMar>
            <w:top w:w="0" w:type="dxa"/>
            <w:left w:w="108" w:type="dxa"/>
            <w:bottom w:w="0" w:type="dxa"/>
            <w:right w:w="108" w:type="dxa"/>
          </w:tblCellMar>
        </w:tblPrEx>
        <w:trPr>
          <w:trHeight w:val="1076"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1</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贷款利率</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30</w:t>
            </w:r>
          </w:p>
        </w:tc>
        <w:tc>
          <w:tcPr>
            <w:tcW w:w="6179"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以5年期以上LPR为标准，按照5年期以上LPR下浮</w:t>
            </w:r>
            <w:r>
              <w:rPr>
                <w:rFonts w:ascii="仿宋_GB2312" w:hAnsi="宋体" w:eastAsia="仿宋_GB2312" w:cs="宋体"/>
                <w:color w:val="000000"/>
                <w:kern w:val="0"/>
                <w:sz w:val="22"/>
                <w:szCs w:val="22"/>
              </w:rPr>
              <w:t>1</w:t>
            </w:r>
            <w:r>
              <w:rPr>
                <w:rFonts w:hint="eastAsia" w:ascii="仿宋_GB2312" w:hAnsi="宋体" w:eastAsia="仿宋_GB2312" w:cs="宋体"/>
                <w:color w:val="000000"/>
                <w:kern w:val="0"/>
                <w:sz w:val="22"/>
                <w:szCs w:val="22"/>
              </w:rPr>
              <w:t>25</w:t>
            </w:r>
            <w:r>
              <w:rPr>
                <w:rFonts w:ascii="仿宋_GB2312" w:hAnsi="宋体" w:eastAsia="仿宋_GB2312" w:cs="宋体"/>
                <w:color w:val="000000"/>
                <w:kern w:val="0"/>
                <w:sz w:val="22"/>
                <w:szCs w:val="22"/>
              </w:rPr>
              <w:t>bp</w:t>
            </w:r>
            <w:r>
              <w:rPr>
                <w:rFonts w:hint="eastAsia" w:ascii="仿宋_GB2312" w:hAnsi="宋体" w:eastAsia="仿宋_GB2312" w:cs="宋体"/>
                <w:color w:val="000000"/>
                <w:kern w:val="0"/>
                <w:sz w:val="22"/>
                <w:szCs w:val="22"/>
              </w:rPr>
              <w:t>投标的得</w:t>
            </w:r>
            <w:r>
              <w:rPr>
                <w:rFonts w:ascii="仿宋_GB2312" w:hAnsi="宋体" w:eastAsia="仿宋_GB2312" w:cs="宋体"/>
                <w:color w:val="000000"/>
                <w:kern w:val="0"/>
                <w:sz w:val="22"/>
                <w:szCs w:val="22"/>
              </w:rPr>
              <w:t>20</w:t>
            </w:r>
            <w:r>
              <w:rPr>
                <w:rFonts w:hint="eastAsia" w:ascii="仿宋_GB2312" w:hAnsi="宋体" w:eastAsia="仿宋_GB2312" w:cs="宋体"/>
                <w:color w:val="000000"/>
                <w:kern w:val="0"/>
                <w:sz w:val="22"/>
                <w:szCs w:val="22"/>
              </w:rPr>
              <w:t>分，每上浮1bp减</w:t>
            </w:r>
            <w:r>
              <w:rPr>
                <w:rFonts w:ascii="仿宋_GB2312" w:hAnsi="宋体" w:eastAsia="仿宋_GB2312" w:cs="宋体"/>
                <w:color w:val="000000"/>
                <w:kern w:val="0"/>
                <w:sz w:val="22"/>
                <w:szCs w:val="22"/>
              </w:rPr>
              <w:t>1</w:t>
            </w:r>
            <w:r>
              <w:rPr>
                <w:rFonts w:hint="eastAsia" w:ascii="仿宋_GB2312" w:hAnsi="宋体" w:eastAsia="仿宋_GB2312" w:cs="宋体"/>
                <w:color w:val="000000"/>
                <w:kern w:val="0"/>
                <w:sz w:val="22"/>
                <w:szCs w:val="22"/>
              </w:rPr>
              <w:t>分，每下浮2bp加</w:t>
            </w:r>
            <w:r>
              <w:rPr>
                <w:rFonts w:ascii="仿宋_GB2312" w:hAnsi="宋体" w:eastAsia="仿宋_GB2312" w:cs="宋体"/>
                <w:color w:val="000000"/>
                <w:kern w:val="0"/>
                <w:sz w:val="22"/>
                <w:szCs w:val="22"/>
              </w:rPr>
              <w:t>1</w:t>
            </w:r>
            <w:r>
              <w:rPr>
                <w:rFonts w:hint="eastAsia" w:ascii="仿宋_GB2312" w:hAnsi="宋体" w:eastAsia="仿宋_GB2312" w:cs="宋体"/>
                <w:color w:val="000000"/>
                <w:kern w:val="0"/>
                <w:sz w:val="22"/>
                <w:szCs w:val="22"/>
              </w:rPr>
              <w:t>分；投标利率超过2.8%的为废标。</w:t>
            </w:r>
          </w:p>
        </w:tc>
        <w:tc>
          <w:tcPr>
            <w:tcW w:w="671"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r>
      <w:tr>
        <w:tblPrEx>
          <w:tblCellMar>
            <w:top w:w="0" w:type="dxa"/>
            <w:left w:w="108" w:type="dxa"/>
            <w:bottom w:w="0" w:type="dxa"/>
            <w:right w:w="108" w:type="dxa"/>
          </w:tblCellMar>
        </w:tblPrEx>
        <w:trPr>
          <w:trHeight w:val="579"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2</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浮动利率周期</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10</w:t>
            </w:r>
          </w:p>
        </w:tc>
        <w:tc>
          <w:tcPr>
            <w:tcW w:w="6179"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按月浮动得10分；按季浮动得8分；按半年浮动得6分；按年浮动得4分。</w:t>
            </w:r>
          </w:p>
        </w:tc>
        <w:tc>
          <w:tcPr>
            <w:tcW w:w="671"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r>
      <w:tr>
        <w:tblPrEx>
          <w:tblCellMar>
            <w:top w:w="0" w:type="dxa"/>
            <w:left w:w="108" w:type="dxa"/>
            <w:bottom w:w="0" w:type="dxa"/>
            <w:right w:w="108" w:type="dxa"/>
          </w:tblCellMar>
        </w:tblPrEx>
        <w:trPr>
          <w:trHeight w:val="477"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3</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贷款期限</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hint="eastAsia" w:ascii="仿宋_GB2312" w:hAnsi="宋体" w:eastAsia="仿宋_GB2312" w:cs="仿宋_GB2312"/>
                <w:color w:val="000000"/>
                <w:kern w:val="0"/>
                <w:sz w:val="22"/>
                <w:szCs w:val="22"/>
              </w:rPr>
              <w:t>10</w:t>
            </w:r>
          </w:p>
        </w:tc>
        <w:tc>
          <w:tcPr>
            <w:tcW w:w="6179"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符合贷款期限且项目宽限期为3年，得</w:t>
            </w:r>
            <w:r>
              <w:rPr>
                <w:rFonts w:ascii="仿宋_GB2312" w:hAnsi="宋体" w:eastAsia="仿宋_GB2312" w:cs="仿宋_GB2312"/>
                <w:color w:val="000000"/>
                <w:kern w:val="0"/>
                <w:sz w:val="22"/>
                <w:szCs w:val="22"/>
              </w:rPr>
              <w:t>10</w:t>
            </w:r>
            <w:r>
              <w:rPr>
                <w:rFonts w:hint="eastAsia" w:ascii="仿宋_GB2312" w:hAnsi="宋体" w:eastAsia="仿宋_GB2312" w:cs="仿宋_GB2312"/>
                <w:color w:val="000000"/>
                <w:kern w:val="0"/>
                <w:sz w:val="22"/>
                <w:szCs w:val="22"/>
              </w:rPr>
              <w:t>分； 符合贷款期限且项目宽限期为2年，得5分；其他情形不得分。</w:t>
            </w:r>
          </w:p>
        </w:tc>
        <w:tc>
          <w:tcPr>
            <w:tcW w:w="671"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r>
      <w:tr>
        <w:tblPrEx>
          <w:tblCellMar>
            <w:top w:w="0" w:type="dxa"/>
            <w:left w:w="108" w:type="dxa"/>
            <w:bottom w:w="0" w:type="dxa"/>
            <w:right w:w="108" w:type="dxa"/>
          </w:tblCellMar>
        </w:tblPrEx>
        <w:trPr>
          <w:trHeight w:val="472"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4</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贷款额度</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5</w:t>
            </w:r>
          </w:p>
        </w:tc>
        <w:tc>
          <w:tcPr>
            <w:tcW w:w="6179"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投标牵头行按全额得5分；参贷行按所分额度上报得5分。</w:t>
            </w:r>
          </w:p>
        </w:tc>
        <w:tc>
          <w:tcPr>
            <w:tcW w:w="671"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s="仿宋_GB2312"/>
                <w:color w:val="000000"/>
                <w:kern w:val="0"/>
                <w:sz w:val="22"/>
                <w:szCs w:val="22"/>
              </w:rPr>
            </w:pPr>
          </w:p>
        </w:tc>
      </w:tr>
      <w:tr>
        <w:tblPrEx>
          <w:tblCellMar>
            <w:top w:w="0" w:type="dxa"/>
            <w:left w:w="108" w:type="dxa"/>
            <w:bottom w:w="0" w:type="dxa"/>
            <w:right w:w="108" w:type="dxa"/>
          </w:tblCellMar>
        </w:tblPrEx>
        <w:trPr>
          <w:trHeight w:val="472"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hint="eastAsia" w:ascii="仿宋_GB2312" w:hAnsi="宋体" w:eastAsia="仿宋_GB2312" w:cs="仿宋_GB2312"/>
                <w:color w:val="000000"/>
                <w:kern w:val="0"/>
                <w:sz w:val="22"/>
                <w:szCs w:val="22"/>
              </w:rPr>
              <w:t>5</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仿宋_GB2312"/>
                <w:color w:val="000000"/>
                <w:kern w:val="0"/>
                <w:sz w:val="22"/>
                <w:szCs w:val="22"/>
              </w:rPr>
            </w:pPr>
            <w:r>
              <w:rPr>
                <w:rFonts w:hint="eastAsia" w:ascii="仿宋_GB2312" w:hAnsi="宋体" w:eastAsia="仿宋_GB2312" w:cs="宋体"/>
                <w:color w:val="000000"/>
                <w:kern w:val="0"/>
                <w:sz w:val="22"/>
                <w:szCs w:val="22"/>
              </w:rPr>
              <w:t>担保方式</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hint="eastAsia" w:ascii="仿宋_GB2312" w:hAnsi="宋体" w:eastAsia="仿宋_GB2312" w:cs="宋体"/>
                <w:color w:val="000000"/>
                <w:kern w:val="0"/>
                <w:sz w:val="22"/>
                <w:szCs w:val="22"/>
              </w:rPr>
              <w:t>15</w:t>
            </w:r>
          </w:p>
        </w:tc>
        <w:tc>
          <w:tcPr>
            <w:tcW w:w="6179"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建设期为信用，建成后办理现房抵押得15分；</w:t>
            </w:r>
          </w:p>
          <w:p>
            <w:pPr>
              <w:widowControl/>
              <w:spacing w:line="5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建设期在建工程抵押，建成后办理现房抵押得10分；</w:t>
            </w:r>
          </w:p>
          <w:p>
            <w:pPr>
              <w:widowControl/>
              <w:spacing w:line="5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追加任何形式的担保不得分。</w:t>
            </w:r>
          </w:p>
        </w:tc>
        <w:tc>
          <w:tcPr>
            <w:tcW w:w="671"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s="仿宋_GB2312"/>
                <w:color w:val="000000"/>
                <w:kern w:val="0"/>
                <w:sz w:val="22"/>
                <w:szCs w:val="22"/>
              </w:rPr>
            </w:pPr>
          </w:p>
        </w:tc>
      </w:tr>
      <w:tr>
        <w:tblPrEx>
          <w:tblCellMar>
            <w:top w:w="0" w:type="dxa"/>
            <w:left w:w="108" w:type="dxa"/>
            <w:bottom w:w="0" w:type="dxa"/>
            <w:right w:w="108" w:type="dxa"/>
          </w:tblCellMar>
        </w:tblPrEx>
        <w:trPr>
          <w:trHeight w:val="686"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6</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还款灵活性</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w:t>
            </w:r>
          </w:p>
        </w:tc>
        <w:tc>
          <w:tcPr>
            <w:tcW w:w="6179"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同意企业根据资金情况进行灵活还款，得5分。</w:t>
            </w:r>
          </w:p>
        </w:tc>
        <w:tc>
          <w:tcPr>
            <w:tcW w:w="671"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r>
      <w:tr>
        <w:tblPrEx>
          <w:tblCellMar>
            <w:top w:w="0" w:type="dxa"/>
            <w:left w:w="108" w:type="dxa"/>
            <w:bottom w:w="0" w:type="dxa"/>
            <w:right w:w="108" w:type="dxa"/>
          </w:tblCellMar>
        </w:tblPrEx>
        <w:trPr>
          <w:trHeight w:val="710"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7</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授信审批速度</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6179"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取得项目基础资料后，3个月内完成审批，得5分。</w:t>
            </w:r>
          </w:p>
        </w:tc>
        <w:tc>
          <w:tcPr>
            <w:tcW w:w="671"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s="仿宋_GB2312"/>
                <w:color w:val="000000"/>
                <w:kern w:val="0"/>
                <w:sz w:val="22"/>
                <w:szCs w:val="22"/>
              </w:rPr>
            </w:pPr>
          </w:p>
        </w:tc>
      </w:tr>
      <w:tr>
        <w:tblPrEx>
          <w:tblCellMar>
            <w:top w:w="0" w:type="dxa"/>
            <w:left w:w="108" w:type="dxa"/>
            <w:bottom w:w="0" w:type="dxa"/>
            <w:right w:w="108" w:type="dxa"/>
          </w:tblCellMar>
        </w:tblPrEx>
        <w:trPr>
          <w:trHeight w:val="693"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8</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房源推荐</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w:t>
            </w:r>
            <w:r>
              <w:rPr>
                <w:rFonts w:ascii="仿宋_GB2312" w:hAnsi="宋体" w:eastAsia="仿宋_GB2312" w:cs="宋体"/>
                <w:color w:val="000000"/>
                <w:kern w:val="0"/>
                <w:sz w:val="22"/>
                <w:szCs w:val="22"/>
              </w:rPr>
              <w:t>0</w:t>
            </w:r>
          </w:p>
        </w:tc>
        <w:tc>
          <w:tcPr>
            <w:tcW w:w="6179"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该项目为保租房，通过银行渠道，不遗余力得进行房源推荐，得1</w:t>
            </w:r>
            <w:r>
              <w:rPr>
                <w:rFonts w:ascii="仿宋_GB2312" w:hAnsi="宋体" w:eastAsia="仿宋_GB2312" w:cs="宋体"/>
                <w:color w:val="000000"/>
                <w:kern w:val="0"/>
                <w:sz w:val="22"/>
                <w:szCs w:val="22"/>
              </w:rPr>
              <w:t>0</w:t>
            </w:r>
            <w:r>
              <w:rPr>
                <w:rFonts w:hint="eastAsia" w:ascii="仿宋_GB2312" w:hAnsi="宋体" w:eastAsia="仿宋_GB2312" w:cs="宋体"/>
                <w:color w:val="000000"/>
                <w:kern w:val="0"/>
                <w:sz w:val="22"/>
                <w:szCs w:val="22"/>
              </w:rPr>
              <w:t>分。</w:t>
            </w:r>
          </w:p>
        </w:tc>
        <w:tc>
          <w:tcPr>
            <w:tcW w:w="671"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s="仿宋_GB2312"/>
                <w:color w:val="000000"/>
                <w:kern w:val="0"/>
                <w:sz w:val="22"/>
                <w:szCs w:val="22"/>
              </w:rPr>
            </w:pPr>
          </w:p>
        </w:tc>
      </w:tr>
      <w:tr>
        <w:tblPrEx>
          <w:tblCellMar>
            <w:top w:w="0" w:type="dxa"/>
            <w:left w:w="108" w:type="dxa"/>
            <w:bottom w:w="0" w:type="dxa"/>
            <w:right w:w="108" w:type="dxa"/>
          </w:tblCellMar>
        </w:tblPrEx>
        <w:trPr>
          <w:trHeight w:val="1201"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9</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银企合作度</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10</w:t>
            </w:r>
          </w:p>
        </w:tc>
        <w:tc>
          <w:tcPr>
            <w:tcW w:w="6179"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困难时期，全力支持并且合作稳定、诚实信用、平等互利得2</w:t>
            </w:r>
            <w:r>
              <w:rPr>
                <w:rFonts w:ascii="仿宋_GB2312" w:hAnsi="宋体" w:eastAsia="仿宋_GB2312" w:cs="宋体"/>
                <w:color w:val="000000"/>
                <w:kern w:val="0"/>
                <w:sz w:val="22"/>
                <w:szCs w:val="22"/>
              </w:rPr>
              <w:t>-</w:t>
            </w:r>
            <w:r>
              <w:rPr>
                <w:rFonts w:hint="eastAsia" w:ascii="仿宋_GB2312" w:hAnsi="宋体" w:eastAsia="仿宋_GB2312" w:cs="宋体"/>
                <w:color w:val="000000"/>
                <w:kern w:val="0"/>
                <w:sz w:val="22"/>
                <w:szCs w:val="22"/>
              </w:rPr>
              <w:t>10分。</w:t>
            </w:r>
          </w:p>
        </w:tc>
        <w:tc>
          <w:tcPr>
            <w:tcW w:w="671"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742" w:type="dxa"/>
            <w:gridSpan w:val="2"/>
          </w:tcPr>
          <w:p>
            <w:pPr>
              <w:spacing w:line="500" w:lineRule="exact"/>
              <w:jc w:val="center"/>
              <w:rPr>
                <w:rFonts w:ascii="仿宋_GB2312" w:hAnsi="宋体" w:eastAsia="仿宋_GB2312"/>
                <w:b/>
                <w:bCs/>
                <w:sz w:val="24"/>
                <w:szCs w:val="24"/>
              </w:rPr>
            </w:pPr>
            <w:r>
              <w:rPr>
                <w:rFonts w:hint="eastAsia" w:ascii="仿宋_GB2312" w:hAnsi="宋体" w:eastAsia="仿宋_GB2312" w:cs="仿宋_GB2312"/>
                <w:b/>
                <w:bCs/>
                <w:sz w:val="24"/>
                <w:szCs w:val="24"/>
              </w:rPr>
              <w:t>合计</w:t>
            </w:r>
          </w:p>
        </w:tc>
        <w:tc>
          <w:tcPr>
            <w:tcW w:w="708" w:type="dxa"/>
          </w:tcPr>
          <w:p>
            <w:pPr>
              <w:spacing w:line="500" w:lineRule="exact"/>
              <w:jc w:val="center"/>
              <w:rPr>
                <w:rFonts w:ascii="仿宋_GB2312" w:hAnsi="宋体" w:eastAsia="仿宋_GB2312" w:cs="仿宋_GB2312"/>
                <w:b/>
                <w:bCs/>
                <w:sz w:val="24"/>
                <w:szCs w:val="24"/>
              </w:rPr>
            </w:pPr>
            <w:r>
              <w:rPr>
                <w:rFonts w:ascii="仿宋_GB2312" w:hAnsi="宋体" w:eastAsia="仿宋_GB2312" w:cs="仿宋_GB2312"/>
                <w:b/>
                <w:bCs/>
                <w:sz w:val="24"/>
                <w:szCs w:val="24"/>
              </w:rPr>
              <w:t>100</w:t>
            </w:r>
          </w:p>
        </w:tc>
        <w:tc>
          <w:tcPr>
            <w:tcW w:w="6850" w:type="dxa"/>
            <w:gridSpan w:val="2"/>
          </w:tcPr>
          <w:p>
            <w:pPr>
              <w:spacing w:line="500" w:lineRule="exact"/>
              <w:rPr>
                <w:rFonts w:ascii="仿宋_GB2312" w:hAnsi="宋体" w:eastAsia="仿宋_GB2312" w:cs="仿宋_GB2312"/>
                <w:b/>
                <w:bCs/>
                <w:sz w:val="24"/>
                <w:szCs w:val="24"/>
              </w:rPr>
            </w:pPr>
          </w:p>
        </w:tc>
      </w:tr>
    </w:tbl>
    <w:p>
      <w:pPr>
        <w:spacing w:line="500" w:lineRule="exact"/>
        <w:rPr>
          <w:rFonts w:ascii="仿宋_GB2312" w:hAnsi="宋体" w:eastAsia="仿宋_GB2312"/>
          <w:b/>
          <w:sz w:val="24"/>
          <w:szCs w:val="24"/>
        </w:rPr>
      </w:pPr>
      <w:r>
        <w:rPr>
          <w:rFonts w:hint="eastAsia" w:ascii="仿宋_GB2312" w:hAnsi="宋体" w:eastAsia="仿宋_GB2312"/>
          <w:b/>
          <w:sz w:val="24"/>
          <w:szCs w:val="24"/>
        </w:rPr>
        <w:t>注：1、</w:t>
      </w:r>
      <w:r>
        <w:rPr>
          <w:rFonts w:ascii="仿宋_GB2312" w:hAnsi="宋体" w:eastAsia="仿宋_GB2312"/>
          <w:b/>
          <w:sz w:val="24"/>
          <w:szCs w:val="24"/>
        </w:rPr>
        <w:t>本细则各指标评分只在指标分数范围内</w:t>
      </w:r>
      <w:r>
        <w:rPr>
          <w:rFonts w:hint="eastAsia" w:ascii="仿宋_GB2312" w:hAnsi="宋体" w:eastAsia="仿宋_GB2312"/>
          <w:b/>
          <w:sz w:val="24"/>
          <w:szCs w:val="24"/>
        </w:rPr>
        <w:t>加减分,不倒扣分。</w:t>
      </w:r>
    </w:p>
    <w:p>
      <w:pPr>
        <w:spacing w:line="50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1、针对同一具体项目，得分最高者中标；</w:t>
      </w:r>
    </w:p>
    <w:p>
      <w:pPr>
        <w:spacing w:line="50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2、如出现总得分相同的，则由评标委员会以简单多数方式投票决定中标人或中标候选人排名顺序。</w:t>
      </w:r>
    </w:p>
    <w:p>
      <w:pPr>
        <w:widowControl/>
        <w:adjustRightInd w:val="0"/>
        <w:snapToGrid w:val="0"/>
        <w:spacing w:before="100" w:beforeAutospacing="1" w:after="100" w:afterAutospacing="1" w:line="500" w:lineRule="exact"/>
        <w:ind w:right="3" w:firstLine="321" w:firstLineChars="100"/>
        <w:rPr>
          <w:rFonts w:asciiTheme="majorEastAsia" w:hAnsiTheme="majorEastAsia" w:eastAsiaTheme="majorEastAsia"/>
          <w:b/>
          <w:sz w:val="32"/>
          <w:szCs w:val="32"/>
        </w:rPr>
      </w:pPr>
      <w:r>
        <w:rPr>
          <w:rFonts w:hint="eastAsia" w:asciiTheme="majorEastAsia" w:hAnsiTheme="majorEastAsia" w:eastAsiaTheme="majorEastAsia"/>
          <w:b/>
          <w:sz w:val="32"/>
          <w:szCs w:val="32"/>
        </w:rPr>
        <w:t xml:space="preserve"> 附件--投标文件格式要求</w:t>
      </w:r>
    </w:p>
    <w:p>
      <w:pPr>
        <w:widowControl/>
        <w:adjustRightInd w:val="0"/>
        <w:snapToGrid w:val="0"/>
        <w:spacing w:before="100" w:beforeAutospacing="1" w:after="100" w:afterAutospacing="1" w:line="500" w:lineRule="exact"/>
        <w:ind w:firstLine="588" w:firstLineChars="196"/>
        <w:rPr>
          <w:rFonts w:ascii="仿宋_GB2312" w:hAnsi="宋体" w:eastAsia="仿宋_GB2312"/>
          <w:bCs/>
          <w:szCs w:val="30"/>
        </w:rPr>
      </w:pPr>
      <w:r>
        <w:rPr>
          <w:rFonts w:hint="eastAsia" w:ascii="仿宋_GB2312" w:hAnsi="宋体" w:eastAsia="仿宋_GB2312"/>
          <w:bCs/>
          <w:szCs w:val="30"/>
        </w:rPr>
        <w:t>投标文件应规范整齐、装订及加盖公章，纸张、封面和装订应力求简洁，投标书要求采用A4纸张。投标文件内容（应当包括但不限于所列示内容，如招标文件中未提供格式，请投标人自行设计提供，有关文件非提供原件的，须加盖相应的投标单位公章或业务章）：</w:t>
      </w:r>
    </w:p>
    <w:p>
      <w:pPr>
        <w:widowControl/>
        <w:adjustRightInd w:val="0"/>
        <w:snapToGrid w:val="0"/>
        <w:spacing w:before="100" w:beforeAutospacing="1" w:after="100" w:afterAutospacing="1" w:line="500" w:lineRule="exact"/>
        <w:ind w:firstLine="588" w:firstLineChars="196"/>
        <w:rPr>
          <w:rFonts w:ascii="仿宋_GB2312" w:hAnsi="宋体" w:eastAsia="仿宋_GB2312"/>
          <w:bCs/>
          <w:szCs w:val="30"/>
        </w:rPr>
      </w:pPr>
      <w:r>
        <w:rPr>
          <w:rFonts w:hint="eastAsia" w:ascii="仿宋_GB2312" w:hAnsi="宋体" w:eastAsia="仿宋_GB2312"/>
          <w:bCs/>
          <w:szCs w:val="30"/>
        </w:rPr>
        <w:t xml:space="preserve"> 1、投标人情况的简要概述及资格材料，包括：法定代表人证明书、法人代表授权书、《金融机构法人许可证》、《金融机构营业许可证》、营业执照、具备实施项目的其他相关证明；</w:t>
      </w:r>
    </w:p>
    <w:p>
      <w:pPr>
        <w:widowControl/>
        <w:adjustRightInd w:val="0"/>
        <w:snapToGrid w:val="0"/>
        <w:spacing w:before="100" w:beforeAutospacing="1" w:after="100" w:afterAutospacing="1" w:line="500" w:lineRule="exact"/>
        <w:ind w:firstLine="588" w:firstLineChars="196"/>
        <w:rPr>
          <w:rFonts w:ascii="仿宋_GB2312" w:hAnsi="宋体" w:eastAsia="仿宋_GB2312"/>
          <w:bCs/>
          <w:szCs w:val="30"/>
        </w:rPr>
      </w:pPr>
      <w:r>
        <w:rPr>
          <w:rFonts w:hint="eastAsia" w:ascii="仿宋_GB2312" w:hAnsi="宋体" w:eastAsia="仿宋_GB2312"/>
          <w:bCs/>
          <w:szCs w:val="30"/>
        </w:rPr>
        <w:t>2、投标人需承诺贷款总额度、贷款利率、担保方式、还款方式等条件；</w:t>
      </w:r>
    </w:p>
    <w:p>
      <w:pPr>
        <w:widowControl/>
        <w:adjustRightInd w:val="0"/>
        <w:snapToGrid w:val="0"/>
        <w:spacing w:before="100" w:beforeAutospacing="1" w:after="100" w:afterAutospacing="1" w:line="500" w:lineRule="exact"/>
        <w:ind w:firstLine="588" w:firstLineChars="196"/>
        <w:rPr>
          <w:rFonts w:ascii="仿宋_GB2312" w:hAnsi="宋体" w:eastAsia="仿宋_GB2312"/>
          <w:bCs/>
          <w:szCs w:val="30"/>
        </w:rPr>
      </w:pPr>
      <w:r>
        <w:rPr>
          <w:rFonts w:hint="eastAsia" w:ascii="仿宋_GB2312" w:hAnsi="宋体" w:eastAsia="仿宋_GB2312"/>
          <w:bCs/>
          <w:szCs w:val="30"/>
        </w:rPr>
        <w:t>3、投标人须提供分行或支行同意本次投标的相关书面材料；</w:t>
      </w:r>
    </w:p>
    <w:p>
      <w:pPr>
        <w:adjustRightInd w:val="0"/>
        <w:snapToGrid w:val="0"/>
        <w:spacing w:before="100" w:beforeAutospacing="1" w:after="100" w:afterAutospacing="1" w:line="500" w:lineRule="exact"/>
        <w:ind w:firstLine="600" w:firstLineChars="200"/>
        <w:rPr>
          <w:rFonts w:ascii="仿宋_GB2312" w:hAnsi="宋体" w:eastAsia="仿宋_GB2312"/>
          <w:bCs/>
          <w:szCs w:val="30"/>
        </w:rPr>
      </w:pPr>
      <w:r>
        <w:rPr>
          <w:rFonts w:hint="eastAsia" w:ascii="仿宋_GB2312" w:hAnsi="宋体" w:eastAsia="仿宋_GB2312"/>
          <w:bCs/>
          <w:szCs w:val="30"/>
        </w:rPr>
        <w:t>4、投标人认为其他需要说明或承诺的内容和项目。</w:t>
      </w:r>
    </w:p>
    <w:p>
      <w:pPr>
        <w:adjustRightInd w:val="0"/>
        <w:snapToGrid w:val="0"/>
        <w:spacing w:before="100" w:beforeAutospacing="1" w:after="100" w:afterAutospacing="1" w:line="500" w:lineRule="exact"/>
        <w:rPr>
          <w:rFonts w:ascii="仿宋_GB2312" w:hAnsi="宋体" w:eastAsia="仿宋_GB2312"/>
          <w:bCs/>
          <w:szCs w:val="30"/>
        </w:rPr>
      </w:pPr>
    </w:p>
    <w:p>
      <w:pPr>
        <w:jc w:val="right"/>
        <w:rPr>
          <w:rFonts w:ascii="仿宋_GB2312" w:hAnsi="宋体" w:eastAsia="仿宋_GB2312"/>
          <w:bCs/>
          <w:szCs w:val="30"/>
        </w:rPr>
      </w:pPr>
    </w:p>
    <w:p>
      <w:pPr>
        <w:jc w:val="right"/>
        <w:rPr>
          <w:rFonts w:ascii="仿宋_GB2312" w:hAnsi="宋体" w:eastAsia="仿宋_GB2312"/>
          <w:bCs/>
          <w:szCs w:val="30"/>
        </w:rPr>
      </w:pPr>
      <w:r>
        <w:rPr>
          <w:rFonts w:hint="eastAsia" w:ascii="仿宋_GB2312" w:hAnsi="宋体" w:eastAsia="仿宋_GB2312"/>
          <w:bCs/>
          <w:szCs w:val="30"/>
        </w:rPr>
        <w:t>上海奉贤发展（集团）有限公司</w:t>
      </w:r>
    </w:p>
    <w:p>
      <w:pPr>
        <w:adjustRightInd w:val="0"/>
        <w:snapToGrid w:val="0"/>
        <w:spacing w:before="100" w:beforeAutospacing="1" w:after="100" w:afterAutospacing="1" w:line="500" w:lineRule="exact"/>
        <w:rPr>
          <w:rFonts w:ascii="仿宋_GB2312" w:hAnsi="宋体" w:eastAsia="仿宋_GB2312"/>
          <w:bCs/>
          <w:szCs w:val="30"/>
        </w:rPr>
      </w:pPr>
    </w:p>
    <w:p>
      <w:pPr>
        <w:adjustRightInd w:val="0"/>
        <w:snapToGrid w:val="0"/>
        <w:spacing w:before="100" w:beforeAutospacing="1" w:after="100" w:afterAutospacing="1" w:line="500" w:lineRule="exact"/>
        <w:rPr>
          <w:rFonts w:ascii="仿宋_GB2312" w:hAnsi="宋体" w:eastAsia="仿宋_GB2312"/>
          <w:bCs/>
          <w:szCs w:val="30"/>
        </w:rPr>
      </w:pPr>
    </w:p>
    <w:p>
      <w:pPr>
        <w:adjustRightInd w:val="0"/>
        <w:snapToGrid w:val="0"/>
        <w:spacing w:before="100" w:beforeAutospacing="1" w:after="100" w:afterAutospacing="1" w:line="500" w:lineRule="exact"/>
        <w:rPr>
          <w:rFonts w:ascii="仿宋_GB2312" w:hAnsi="宋体" w:eastAsia="仿宋_GB2312"/>
          <w:bCs/>
          <w:szCs w:val="30"/>
        </w:rPr>
      </w:pPr>
    </w:p>
    <w:p>
      <w:pPr>
        <w:adjustRightInd w:val="0"/>
        <w:snapToGrid w:val="0"/>
        <w:spacing w:before="100" w:beforeAutospacing="1" w:after="100" w:afterAutospacing="1" w:line="500" w:lineRule="exact"/>
        <w:rPr>
          <w:rFonts w:ascii="仿宋_GB2312" w:hAnsi="宋体" w:eastAsia="仿宋_GB2312"/>
          <w:bCs/>
          <w:szCs w:val="30"/>
        </w:rPr>
      </w:pPr>
    </w:p>
    <w:p>
      <w:pPr>
        <w:adjustRightInd w:val="0"/>
        <w:snapToGrid w:val="0"/>
        <w:spacing w:before="100" w:beforeAutospacing="1" w:after="100" w:afterAutospacing="1" w:line="500" w:lineRule="exact"/>
        <w:rPr>
          <w:rFonts w:ascii="仿宋_GB2312" w:hAnsi="宋体" w:eastAsia="仿宋_GB2312"/>
          <w:bCs/>
          <w:szCs w:val="30"/>
        </w:rPr>
      </w:pPr>
    </w:p>
    <w:p>
      <w:pPr>
        <w:adjustRightInd w:val="0"/>
        <w:snapToGrid w:val="0"/>
        <w:spacing w:before="100" w:beforeAutospacing="1" w:after="100" w:afterAutospacing="1" w:line="500" w:lineRule="exact"/>
        <w:rPr>
          <w:rFonts w:ascii="仿宋_GB2312" w:hAnsi="宋体" w:eastAsia="仿宋_GB2312"/>
          <w:sz w:val="24"/>
          <w:szCs w:val="24"/>
        </w:rPr>
      </w:pPr>
      <w:r>
        <w:rPr>
          <w:rFonts w:hint="eastAsia" w:ascii="仿宋_GB2312" w:hAnsi="宋体" w:eastAsia="仿宋_GB2312"/>
          <w:sz w:val="24"/>
          <w:szCs w:val="24"/>
        </w:rPr>
        <w:t>附件1　　　　　 　　　     项目贷款投标书</w:t>
      </w:r>
    </w:p>
    <w:p>
      <w:pPr>
        <w:spacing w:line="500" w:lineRule="exact"/>
        <w:rPr>
          <w:rFonts w:ascii="仿宋_GB2312" w:hAnsi="宋体" w:eastAsia="仿宋_GB2312"/>
          <w:sz w:val="24"/>
          <w:szCs w:val="24"/>
        </w:rPr>
      </w:pPr>
      <w:r>
        <w:rPr>
          <w:rFonts w:hint="eastAsia" w:ascii="仿宋_GB2312" w:hAnsi="宋体" w:eastAsia="仿宋_GB2312"/>
          <w:sz w:val="24"/>
          <w:szCs w:val="24"/>
        </w:rPr>
        <w:t>致：上海奉贤发展（集团）有限公司</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根据贵方为</w:t>
      </w:r>
      <w:r>
        <w:rPr>
          <w:rFonts w:hint="eastAsia" w:ascii="仿宋_GB2312" w:hAnsi="宋体" w:eastAsia="仿宋_GB2312"/>
          <w:bCs/>
          <w:sz w:val="28"/>
          <w:szCs w:val="28"/>
          <w:u w:val="single"/>
        </w:rPr>
        <w:t>奉贤新城21单元14-01区域地块保租房项目</w:t>
      </w:r>
      <w:r>
        <w:rPr>
          <w:rFonts w:hint="eastAsia" w:ascii="仿宋_GB2312" w:hAnsi="宋体" w:eastAsia="仿宋_GB2312"/>
          <w:sz w:val="24"/>
          <w:szCs w:val="24"/>
        </w:rPr>
        <w:t>招标贷款银行的投标邀请，签字代表__________________________（全名、职务）经正式授权并代表投标方___________________________________________（投标方名称、地址）提交下述文件正本一份和副本一份。</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⑴开标一览表</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⑵资格证明文件</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⑶投标人情况的简要概述</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⑷投标人认为其他需要说明或承诺的内容和项目。</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据此函，签字代表宣布同意如下：</w:t>
      </w:r>
    </w:p>
    <w:p>
      <w:pPr>
        <w:numPr>
          <w:ilvl w:val="0"/>
          <w:numId w:val="3"/>
        </w:numPr>
        <w:spacing w:line="500" w:lineRule="exact"/>
        <w:rPr>
          <w:rFonts w:ascii="仿宋_GB2312" w:hAnsi="宋体" w:eastAsia="仿宋_GB2312"/>
          <w:sz w:val="24"/>
          <w:szCs w:val="24"/>
        </w:rPr>
      </w:pPr>
      <w:r>
        <w:rPr>
          <w:rFonts w:hint="eastAsia" w:ascii="仿宋_GB2312" w:hAnsi="宋体" w:eastAsia="仿宋_GB2312"/>
          <w:sz w:val="24"/>
          <w:szCs w:val="24"/>
        </w:rPr>
        <w:t>我银行所投标项目为__________________________，投标身份为_________________（牵头行或参贷行），所附投标报价表中规定的应提供承诺贷款总额度为__________万元，即__________________________（大写）。</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2. 投标方将按投标文件的规定履行责任和义务。</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3. 投标方已详细审查全部招标文件，包括修改文件（如有的话）以及全部参考资料和有关附件。我们完全理解并同意放弃对这方面有不明及误解的权利。</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4. 其投标自开标日起有效期为__________个日历日。</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5. 投标方同意提供按照贵方可能要求的与其投标有关的一切数据或资料，完全理解贵方不一定要接受最低价的投标或收到的任何投标。</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6. 与本投标有关的一切正式往来通讯请寄：</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地址：______________________    邮  编：____________________</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电话：______________________    传  真：____________________</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投标方代表姓名、职务：_____________________________</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投标方名称：____________________</w:t>
      </w:r>
      <w:r>
        <w:rPr>
          <w:rFonts w:ascii="仿宋_GB2312" w:hAnsi="宋体" w:eastAsia="仿宋_GB2312"/>
          <w:sz w:val="24"/>
          <w:szCs w:val="24"/>
        </w:rPr>
        <w:t xml:space="preserve">            </w:t>
      </w:r>
      <w:r>
        <w:rPr>
          <w:rFonts w:hint="eastAsia" w:ascii="仿宋_GB2312" w:hAnsi="宋体" w:eastAsia="仿宋_GB2312"/>
          <w:sz w:val="24"/>
          <w:szCs w:val="24"/>
        </w:rPr>
        <w:t>日期：_____年___月___日</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（公　章）：_____________________</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全权代表签字：___________________</w:t>
      </w:r>
    </w:p>
    <w:p>
      <w:pPr>
        <w:spacing w:line="420" w:lineRule="exact"/>
        <w:rPr>
          <w:rFonts w:ascii="宋体" w:hAnsi="宋体" w:eastAsia="宋体"/>
          <w:sz w:val="24"/>
          <w:szCs w:val="24"/>
        </w:rPr>
      </w:pPr>
      <w:r>
        <w:rPr>
          <w:rFonts w:hint="eastAsia" w:ascii="宋体" w:hAnsi="宋体" w:eastAsia="宋体"/>
          <w:sz w:val="24"/>
          <w:szCs w:val="24"/>
        </w:rPr>
        <w:t>附件2</w:t>
      </w:r>
      <w:r>
        <w:rPr>
          <w:rFonts w:ascii="宋体" w:hAnsi="宋体" w:eastAsia="宋体"/>
          <w:sz w:val="24"/>
          <w:szCs w:val="24"/>
        </w:rPr>
        <w:t>　　　　　 　　　　</w:t>
      </w:r>
      <w:r>
        <w:rPr>
          <w:rFonts w:hint="eastAsia" w:ascii="宋体" w:hAnsi="宋体" w:eastAsia="宋体"/>
          <w:sz w:val="24"/>
          <w:szCs w:val="24"/>
        </w:rPr>
        <w:t>项目贷款</w:t>
      </w:r>
      <w:r>
        <w:rPr>
          <w:rFonts w:ascii="宋体" w:hAnsi="宋体" w:eastAsia="宋体"/>
          <w:sz w:val="24"/>
          <w:szCs w:val="24"/>
        </w:rPr>
        <w:t>开标一览表</w:t>
      </w:r>
    </w:p>
    <w:p>
      <w:pPr>
        <w:spacing w:line="360" w:lineRule="atLeast"/>
        <w:jc w:val="right"/>
        <w:rPr>
          <w:rFonts w:ascii="宋体" w:hAnsi="宋体" w:eastAsia="宋体"/>
          <w:sz w:val="24"/>
          <w:szCs w:val="24"/>
        </w:rPr>
      </w:pPr>
      <w:r>
        <w:rPr>
          <w:rFonts w:ascii="宋体" w:hAnsi="宋体" w:eastAsia="宋体"/>
          <w:sz w:val="24"/>
          <w:szCs w:val="24"/>
        </w:rPr>
        <w:t xml:space="preserve">   货币单位：</w:t>
      </w:r>
      <w:r>
        <w:rPr>
          <w:rFonts w:hint="eastAsia" w:ascii="宋体" w:hAnsi="宋体" w:eastAsia="宋体"/>
          <w:sz w:val="24"/>
          <w:szCs w:val="24"/>
        </w:rPr>
        <w:t>人民币，亿元</w:t>
      </w:r>
    </w:p>
    <w:p>
      <w:pPr>
        <w:spacing w:line="360" w:lineRule="atLeast"/>
        <w:jc w:val="right"/>
        <w:rPr>
          <w:rFonts w:ascii="宋体" w:hAnsi="宋体" w:eastAsia="宋体"/>
          <w:sz w:val="24"/>
          <w:szCs w:val="24"/>
        </w:rPr>
      </w:pPr>
      <w:r>
        <w:rPr>
          <w:rFonts w:hint="eastAsia" w:ascii="宋体" w:hAnsi="宋体" w:eastAsia="宋体"/>
          <w:sz w:val="24"/>
          <w:szCs w:val="24"/>
        </w:rPr>
        <w:t>时间单位：月</w:t>
      </w:r>
    </w:p>
    <w:tbl>
      <w:tblPr>
        <w:tblStyle w:val="32"/>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3327"/>
        <w:gridCol w:w="270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vAlign w:val="center"/>
          </w:tcPr>
          <w:p>
            <w:pPr>
              <w:jc w:val="center"/>
              <w:rPr>
                <w:rFonts w:ascii="宋体" w:hAnsi="宋体" w:eastAsia="宋体"/>
                <w:b/>
                <w:bCs/>
                <w:sz w:val="24"/>
                <w:szCs w:val="24"/>
              </w:rPr>
            </w:pPr>
            <w:r>
              <w:rPr>
                <w:rFonts w:hint="eastAsia" w:ascii="宋体" w:hAnsi="宋体" w:eastAsia="宋体" w:cs="宋体"/>
                <w:b/>
                <w:bCs/>
                <w:sz w:val="24"/>
                <w:szCs w:val="24"/>
              </w:rPr>
              <w:t>序</w:t>
            </w:r>
            <w:r>
              <w:rPr>
                <w:rFonts w:ascii="宋体" w:hAnsi="宋体" w:eastAsia="宋体" w:cs="宋体"/>
                <w:b/>
                <w:bCs/>
                <w:sz w:val="24"/>
                <w:szCs w:val="24"/>
              </w:rPr>
              <w:t xml:space="preserve"> </w:t>
            </w:r>
            <w:r>
              <w:rPr>
                <w:rFonts w:hint="eastAsia" w:ascii="宋体" w:hAnsi="宋体" w:eastAsia="宋体" w:cs="宋体"/>
                <w:b/>
                <w:bCs/>
                <w:sz w:val="24"/>
                <w:szCs w:val="24"/>
              </w:rPr>
              <w:t>号</w:t>
            </w:r>
          </w:p>
        </w:tc>
        <w:tc>
          <w:tcPr>
            <w:tcW w:w="3327" w:type="dxa"/>
            <w:vAlign w:val="center"/>
          </w:tcPr>
          <w:p>
            <w:pPr>
              <w:jc w:val="center"/>
              <w:rPr>
                <w:rFonts w:ascii="宋体" w:hAnsi="宋体" w:eastAsia="宋体"/>
                <w:b/>
                <w:bCs/>
                <w:sz w:val="24"/>
                <w:szCs w:val="24"/>
              </w:rPr>
            </w:pPr>
            <w:r>
              <w:rPr>
                <w:rFonts w:hint="eastAsia" w:ascii="宋体" w:hAnsi="宋体" w:eastAsia="宋体" w:cs="宋体"/>
                <w:b/>
                <w:bCs/>
                <w:sz w:val="24"/>
                <w:szCs w:val="24"/>
              </w:rPr>
              <w:t>项</w:t>
            </w:r>
            <w:r>
              <w:rPr>
                <w:rFonts w:ascii="宋体" w:hAnsi="宋体" w:eastAsia="宋体" w:cs="宋体"/>
                <w:b/>
                <w:bCs/>
                <w:sz w:val="24"/>
                <w:szCs w:val="24"/>
              </w:rPr>
              <w:t xml:space="preserve"> </w:t>
            </w:r>
            <w:r>
              <w:rPr>
                <w:rFonts w:hint="eastAsia" w:ascii="宋体" w:hAnsi="宋体" w:eastAsia="宋体" w:cs="宋体"/>
                <w:b/>
                <w:bCs/>
                <w:sz w:val="24"/>
                <w:szCs w:val="24"/>
              </w:rPr>
              <w:t>目</w:t>
            </w:r>
          </w:p>
        </w:tc>
        <w:tc>
          <w:tcPr>
            <w:tcW w:w="2700" w:type="dxa"/>
            <w:vAlign w:val="center"/>
          </w:tcPr>
          <w:p>
            <w:pPr>
              <w:jc w:val="center"/>
              <w:rPr>
                <w:rFonts w:ascii="宋体" w:hAnsi="宋体" w:eastAsia="宋体"/>
                <w:b/>
                <w:bCs/>
                <w:sz w:val="24"/>
                <w:szCs w:val="24"/>
              </w:rPr>
            </w:pPr>
            <w:r>
              <w:rPr>
                <w:rFonts w:hint="eastAsia" w:ascii="宋体" w:hAnsi="宋体" w:eastAsia="宋体" w:cs="宋体"/>
                <w:b/>
                <w:bCs/>
                <w:sz w:val="24"/>
                <w:szCs w:val="24"/>
              </w:rPr>
              <w:t>报</w:t>
            </w:r>
            <w:r>
              <w:rPr>
                <w:rFonts w:ascii="宋体" w:hAnsi="宋体" w:eastAsia="宋体" w:cs="宋体"/>
                <w:b/>
                <w:bCs/>
                <w:sz w:val="24"/>
                <w:szCs w:val="24"/>
              </w:rPr>
              <w:t xml:space="preserve"> </w:t>
            </w:r>
            <w:r>
              <w:rPr>
                <w:rFonts w:hint="eastAsia" w:ascii="宋体" w:hAnsi="宋体" w:eastAsia="宋体" w:cs="宋体"/>
                <w:b/>
                <w:bCs/>
                <w:sz w:val="24"/>
                <w:szCs w:val="24"/>
              </w:rPr>
              <w:t>价</w:t>
            </w:r>
          </w:p>
        </w:tc>
        <w:tc>
          <w:tcPr>
            <w:tcW w:w="2520" w:type="dxa"/>
            <w:vAlign w:val="center"/>
          </w:tcPr>
          <w:p>
            <w:pPr>
              <w:jc w:val="center"/>
              <w:rPr>
                <w:rFonts w:ascii="宋体" w:hAnsi="宋体" w:eastAsia="宋体"/>
                <w:b/>
                <w:bCs/>
                <w:sz w:val="24"/>
                <w:szCs w:val="24"/>
              </w:rPr>
            </w:pPr>
            <w:r>
              <w:rPr>
                <w:rFonts w:hint="eastAsia" w:ascii="宋体" w:hAnsi="宋体" w:eastAsia="宋体" w:cs="宋体"/>
                <w:b/>
                <w:bCs/>
                <w:sz w:val="24"/>
                <w:szCs w:val="24"/>
              </w:rPr>
              <w:t>备</w:t>
            </w:r>
            <w:r>
              <w:rPr>
                <w:rFonts w:ascii="宋体" w:hAnsi="宋体" w:eastAsia="宋体" w:cs="宋体"/>
                <w:b/>
                <w:bCs/>
                <w:sz w:val="24"/>
                <w:szCs w:val="24"/>
              </w:rPr>
              <w:t xml:space="preserve">  </w:t>
            </w:r>
            <w:r>
              <w:rPr>
                <w:rFonts w:hint="eastAsia" w:ascii="宋体" w:hAnsi="宋体" w:eastAsia="宋体" w:cs="宋体"/>
                <w:b/>
                <w:bCs/>
                <w:sz w:val="24"/>
                <w:szCs w:val="24"/>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vAlign w:val="center"/>
          </w:tcPr>
          <w:p>
            <w:pPr>
              <w:spacing w:line="360" w:lineRule="auto"/>
              <w:jc w:val="center"/>
              <w:rPr>
                <w:rFonts w:ascii="宋体" w:hAnsi="宋体" w:eastAsia="宋体" w:cs="宋体"/>
                <w:b/>
                <w:bCs/>
                <w:sz w:val="24"/>
                <w:szCs w:val="24"/>
              </w:rPr>
            </w:pPr>
            <w:r>
              <w:rPr>
                <w:rFonts w:ascii="宋体" w:hAnsi="宋体" w:eastAsia="宋体" w:cs="宋体"/>
                <w:b/>
                <w:bCs/>
                <w:sz w:val="24"/>
                <w:szCs w:val="24"/>
              </w:rPr>
              <w:t>1</w:t>
            </w:r>
          </w:p>
        </w:tc>
        <w:tc>
          <w:tcPr>
            <w:tcW w:w="3327" w:type="dxa"/>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贷款利率</w:t>
            </w:r>
          </w:p>
        </w:tc>
        <w:tc>
          <w:tcPr>
            <w:tcW w:w="2700" w:type="dxa"/>
            <w:vAlign w:val="center"/>
          </w:tcPr>
          <w:p>
            <w:pPr>
              <w:jc w:val="center"/>
              <w:rPr>
                <w:rFonts w:ascii="宋体" w:hAnsi="宋体" w:eastAsia="宋体"/>
                <w:color w:val="FF0000"/>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2</w:t>
            </w:r>
          </w:p>
        </w:tc>
        <w:tc>
          <w:tcPr>
            <w:tcW w:w="3327" w:type="dxa"/>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浮动利率周期</w:t>
            </w:r>
          </w:p>
        </w:tc>
        <w:tc>
          <w:tcPr>
            <w:tcW w:w="2700" w:type="dxa"/>
            <w:vAlign w:val="center"/>
          </w:tcPr>
          <w:p>
            <w:pPr>
              <w:jc w:val="center"/>
              <w:rPr>
                <w:rFonts w:ascii="宋体" w:hAnsi="宋体" w:eastAsia="宋体"/>
                <w:color w:val="FF0000"/>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3</w:t>
            </w:r>
          </w:p>
        </w:tc>
        <w:tc>
          <w:tcPr>
            <w:tcW w:w="3327" w:type="dxa"/>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贷款期限</w:t>
            </w:r>
          </w:p>
        </w:tc>
        <w:tc>
          <w:tcPr>
            <w:tcW w:w="2700" w:type="dxa"/>
            <w:vAlign w:val="center"/>
          </w:tcPr>
          <w:p>
            <w:pPr>
              <w:jc w:val="center"/>
              <w:rPr>
                <w:rFonts w:ascii="宋体" w:hAnsi="宋体" w:eastAsia="宋体"/>
                <w:color w:val="FF0000"/>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4</w:t>
            </w:r>
          </w:p>
        </w:tc>
        <w:tc>
          <w:tcPr>
            <w:tcW w:w="3327" w:type="dxa"/>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贷款额度</w:t>
            </w:r>
          </w:p>
        </w:tc>
        <w:tc>
          <w:tcPr>
            <w:tcW w:w="2700" w:type="dxa"/>
            <w:vAlign w:val="center"/>
          </w:tcPr>
          <w:p>
            <w:pPr>
              <w:jc w:val="center"/>
              <w:rPr>
                <w:rFonts w:ascii="宋体" w:hAnsi="宋体" w:eastAsia="宋体"/>
                <w:color w:val="FF0000"/>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vAlign w:val="center"/>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5</w:t>
            </w:r>
          </w:p>
        </w:tc>
        <w:tc>
          <w:tcPr>
            <w:tcW w:w="3327" w:type="dxa"/>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担保方式</w:t>
            </w:r>
          </w:p>
        </w:tc>
        <w:tc>
          <w:tcPr>
            <w:tcW w:w="2700" w:type="dxa"/>
            <w:vAlign w:val="center"/>
          </w:tcPr>
          <w:p>
            <w:pPr>
              <w:jc w:val="center"/>
              <w:rPr>
                <w:rFonts w:ascii="宋体" w:hAnsi="宋体" w:eastAsia="宋体"/>
                <w:color w:val="FF0000"/>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vAlign w:val="center"/>
          </w:tcPr>
          <w:p>
            <w:pPr>
              <w:spacing w:line="360" w:lineRule="auto"/>
              <w:jc w:val="center"/>
              <w:rPr>
                <w:rFonts w:ascii="宋体" w:hAnsi="宋体" w:eastAsia="宋体" w:cs="宋体"/>
                <w:b/>
                <w:bCs/>
                <w:sz w:val="24"/>
                <w:szCs w:val="24"/>
              </w:rPr>
            </w:pPr>
            <w:r>
              <w:rPr>
                <w:rFonts w:ascii="宋体" w:hAnsi="宋体" w:eastAsia="宋体" w:cs="宋体"/>
                <w:b/>
                <w:bCs/>
                <w:sz w:val="24"/>
                <w:szCs w:val="24"/>
              </w:rPr>
              <w:t>6</w:t>
            </w:r>
          </w:p>
        </w:tc>
        <w:tc>
          <w:tcPr>
            <w:tcW w:w="3327" w:type="dxa"/>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还款灵活性</w:t>
            </w:r>
          </w:p>
        </w:tc>
        <w:tc>
          <w:tcPr>
            <w:tcW w:w="2700" w:type="dxa"/>
            <w:vAlign w:val="center"/>
          </w:tcPr>
          <w:p>
            <w:pPr>
              <w:jc w:val="center"/>
              <w:rPr>
                <w:rFonts w:ascii="宋体" w:hAnsi="宋体" w:eastAsia="宋体"/>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vAlign w:val="center"/>
          </w:tcPr>
          <w:p>
            <w:pPr>
              <w:spacing w:line="360" w:lineRule="auto"/>
              <w:jc w:val="center"/>
              <w:rPr>
                <w:rFonts w:ascii="宋体" w:hAnsi="宋体" w:eastAsia="宋体" w:cs="宋体"/>
                <w:b/>
                <w:bCs/>
                <w:sz w:val="24"/>
                <w:szCs w:val="24"/>
              </w:rPr>
            </w:pPr>
            <w:r>
              <w:rPr>
                <w:rFonts w:ascii="宋体" w:hAnsi="宋体" w:eastAsia="宋体" w:cs="宋体"/>
                <w:b/>
                <w:bCs/>
                <w:sz w:val="24"/>
                <w:szCs w:val="24"/>
              </w:rPr>
              <w:t>7</w:t>
            </w:r>
          </w:p>
        </w:tc>
        <w:tc>
          <w:tcPr>
            <w:tcW w:w="3327" w:type="dxa"/>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授信审批速度</w:t>
            </w:r>
          </w:p>
        </w:tc>
        <w:tc>
          <w:tcPr>
            <w:tcW w:w="2700" w:type="dxa"/>
            <w:vAlign w:val="center"/>
          </w:tcPr>
          <w:p>
            <w:pPr>
              <w:jc w:val="center"/>
              <w:rPr>
                <w:rFonts w:ascii="宋体" w:hAnsi="宋体" w:eastAsia="宋体"/>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vAlign w:val="center"/>
          </w:tcPr>
          <w:p>
            <w:pPr>
              <w:spacing w:line="360" w:lineRule="auto"/>
              <w:jc w:val="center"/>
              <w:rPr>
                <w:rFonts w:ascii="宋体" w:hAnsi="宋体" w:eastAsia="宋体" w:cs="宋体"/>
                <w:b/>
                <w:bCs/>
                <w:sz w:val="24"/>
                <w:szCs w:val="24"/>
              </w:rPr>
            </w:pPr>
            <w:r>
              <w:rPr>
                <w:rFonts w:ascii="宋体" w:hAnsi="宋体" w:eastAsia="宋体" w:cs="宋体"/>
                <w:b/>
                <w:bCs/>
                <w:sz w:val="24"/>
                <w:szCs w:val="24"/>
              </w:rPr>
              <w:t>8</w:t>
            </w:r>
          </w:p>
        </w:tc>
        <w:tc>
          <w:tcPr>
            <w:tcW w:w="3327" w:type="dxa"/>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房源推荐</w:t>
            </w:r>
          </w:p>
        </w:tc>
        <w:tc>
          <w:tcPr>
            <w:tcW w:w="2700" w:type="dxa"/>
            <w:vAlign w:val="center"/>
          </w:tcPr>
          <w:p>
            <w:pPr>
              <w:jc w:val="center"/>
              <w:rPr>
                <w:rFonts w:ascii="宋体" w:hAnsi="宋体" w:eastAsia="宋体"/>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vAlign w:val="center"/>
          </w:tcPr>
          <w:p>
            <w:pPr>
              <w:spacing w:line="360" w:lineRule="auto"/>
              <w:jc w:val="center"/>
              <w:rPr>
                <w:rFonts w:ascii="宋体" w:hAnsi="宋体" w:eastAsia="宋体" w:cs="宋体"/>
                <w:b/>
                <w:bCs/>
                <w:sz w:val="24"/>
                <w:szCs w:val="24"/>
              </w:rPr>
            </w:pPr>
            <w:r>
              <w:rPr>
                <w:rFonts w:ascii="宋体" w:hAnsi="宋体" w:eastAsia="宋体" w:cs="宋体"/>
                <w:b/>
                <w:bCs/>
                <w:sz w:val="24"/>
                <w:szCs w:val="24"/>
              </w:rPr>
              <w:t>9</w:t>
            </w:r>
          </w:p>
        </w:tc>
        <w:tc>
          <w:tcPr>
            <w:tcW w:w="3327" w:type="dxa"/>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银企合作度</w:t>
            </w:r>
          </w:p>
        </w:tc>
        <w:tc>
          <w:tcPr>
            <w:tcW w:w="2700" w:type="dxa"/>
            <w:vAlign w:val="center"/>
          </w:tcPr>
          <w:p>
            <w:pPr>
              <w:jc w:val="center"/>
              <w:rPr>
                <w:rFonts w:ascii="宋体" w:hAnsi="宋体" w:eastAsia="宋体"/>
                <w:sz w:val="24"/>
                <w:szCs w:val="24"/>
              </w:rPr>
            </w:pPr>
          </w:p>
        </w:tc>
        <w:tc>
          <w:tcPr>
            <w:tcW w:w="2520" w:type="dxa"/>
            <w:vAlign w:val="center"/>
          </w:tcPr>
          <w:p>
            <w:pPr>
              <w:jc w:val="center"/>
              <w:rPr>
                <w:rFonts w:ascii="宋体" w:hAnsi="宋体" w:eastAsia="宋体"/>
                <w:sz w:val="24"/>
                <w:szCs w:val="24"/>
              </w:rPr>
            </w:pPr>
          </w:p>
        </w:tc>
      </w:tr>
    </w:tbl>
    <w:p>
      <w:pPr>
        <w:spacing w:line="360" w:lineRule="atLeast"/>
        <w:rPr>
          <w:rFonts w:ascii="宋体" w:hAnsi="宋体" w:eastAsia="宋体"/>
          <w:sz w:val="24"/>
          <w:szCs w:val="24"/>
        </w:rPr>
      </w:pPr>
    </w:p>
    <w:p>
      <w:pPr>
        <w:spacing w:line="360" w:lineRule="atLeast"/>
        <w:rPr>
          <w:rFonts w:ascii="宋体" w:hAnsi="宋体" w:eastAsia="宋体"/>
          <w:sz w:val="24"/>
          <w:szCs w:val="24"/>
        </w:rPr>
      </w:pPr>
      <w:r>
        <w:rPr>
          <w:rFonts w:ascii="宋体" w:hAnsi="宋体" w:eastAsia="宋体"/>
          <w:sz w:val="24"/>
          <w:szCs w:val="24"/>
        </w:rPr>
        <w:t>投标方名称</w:t>
      </w:r>
      <w:r>
        <w:rPr>
          <w:rFonts w:hint="eastAsia" w:ascii="宋体" w:hAnsi="宋体" w:eastAsia="宋体"/>
          <w:sz w:val="24"/>
          <w:szCs w:val="24"/>
        </w:rPr>
        <w:t>（公章）</w:t>
      </w:r>
      <w:r>
        <w:rPr>
          <w:rFonts w:ascii="宋体" w:hAnsi="宋体" w:eastAsia="宋体"/>
          <w:sz w:val="24"/>
          <w:szCs w:val="24"/>
        </w:rPr>
        <w:t>：________________________</w:t>
      </w:r>
    </w:p>
    <w:p>
      <w:pPr>
        <w:spacing w:line="360" w:lineRule="atLeast"/>
        <w:rPr>
          <w:rFonts w:ascii="宋体" w:hAnsi="宋体" w:eastAsia="宋体"/>
          <w:sz w:val="24"/>
          <w:szCs w:val="24"/>
        </w:rPr>
      </w:pPr>
      <w:r>
        <w:rPr>
          <w:rFonts w:hint="eastAsia" w:ascii="宋体" w:hAnsi="宋体" w:eastAsia="宋体"/>
          <w:sz w:val="24"/>
          <w:szCs w:val="24"/>
        </w:rPr>
        <w:t xml:space="preserve"> </w:t>
      </w:r>
    </w:p>
    <w:p>
      <w:pPr>
        <w:spacing w:line="360" w:lineRule="atLeast"/>
        <w:jc w:val="right"/>
        <w:rPr>
          <w:rFonts w:ascii="宋体" w:hAnsi="宋体" w:eastAsia="宋体"/>
          <w:sz w:val="24"/>
          <w:szCs w:val="24"/>
        </w:rPr>
      </w:pPr>
      <w:r>
        <w:rPr>
          <w:rFonts w:ascii="宋体" w:hAnsi="宋体" w:eastAsia="宋体"/>
          <w:sz w:val="24"/>
          <w:szCs w:val="24"/>
        </w:rPr>
        <w:t xml:space="preserve">                                                    </w:t>
      </w:r>
    </w:p>
    <w:p>
      <w:pPr>
        <w:spacing w:line="360" w:lineRule="atLeast"/>
        <w:rPr>
          <w:rFonts w:ascii="宋体" w:hAnsi="宋体" w:eastAsia="宋体"/>
          <w:sz w:val="24"/>
          <w:szCs w:val="24"/>
        </w:rPr>
      </w:pPr>
      <w:r>
        <w:rPr>
          <w:rFonts w:hint="eastAsia" w:ascii="宋体" w:hAnsi="宋体" w:eastAsia="宋体"/>
          <w:sz w:val="24"/>
          <w:szCs w:val="24"/>
        </w:rPr>
        <w:t>其他说明事项:</w:t>
      </w:r>
    </w:p>
    <w:p>
      <w:pPr>
        <w:spacing w:line="360" w:lineRule="atLeast"/>
        <w:rPr>
          <w:rFonts w:ascii="宋体" w:hAnsi="宋体" w:eastAsia="宋体"/>
          <w:sz w:val="24"/>
          <w:szCs w:val="24"/>
        </w:rPr>
      </w:pPr>
    </w:p>
    <w:p>
      <w:pPr>
        <w:spacing w:line="360" w:lineRule="atLeast"/>
        <w:rPr>
          <w:rFonts w:ascii="宋体" w:hAnsi="宋体" w:eastAsia="宋体"/>
          <w:sz w:val="24"/>
          <w:szCs w:val="24"/>
        </w:rPr>
      </w:pPr>
      <w:r>
        <w:rPr>
          <w:rFonts w:ascii="宋体" w:hAnsi="宋体" w:eastAsia="宋体"/>
          <w:sz w:val="24"/>
          <w:szCs w:val="24"/>
        </w:rPr>
        <w:t>投标方代表签字：________________________________</w:t>
      </w:r>
    </w:p>
    <w:p>
      <w:pPr>
        <w:spacing w:line="360" w:lineRule="atLeast"/>
        <w:rPr>
          <w:rFonts w:ascii="宋体" w:hAnsi="宋体" w:eastAsia="宋体"/>
          <w:sz w:val="24"/>
          <w:szCs w:val="24"/>
        </w:rPr>
      </w:pPr>
      <w:r>
        <w:rPr>
          <w:rFonts w:ascii="宋体" w:hAnsi="宋体" w:eastAsia="宋体"/>
          <w:sz w:val="24"/>
          <w:szCs w:val="24"/>
        </w:rPr>
        <w:t>职务：________________     日期：_______________</w:t>
      </w:r>
    </w:p>
    <w:p>
      <w:pPr>
        <w:spacing w:line="360" w:lineRule="atLeast"/>
        <w:rPr>
          <w:rFonts w:ascii="宋体" w:hAnsi="宋体" w:eastAsia="宋体"/>
          <w:sz w:val="24"/>
          <w:szCs w:val="24"/>
        </w:rPr>
      </w:pPr>
      <w:r>
        <w:rPr>
          <w:rFonts w:ascii="宋体" w:hAnsi="宋体" w:eastAsia="宋体"/>
          <w:sz w:val="24"/>
          <w:szCs w:val="24"/>
        </w:rPr>
        <w:t xml:space="preserve">     </w:t>
      </w:r>
    </w:p>
    <w:p>
      <w:pPr>
        <w:spacing w:line="500" w:lineRule="exact"/>
      </w:pPr>
      <w:r>
        <w:rPr>
          <w:rFonts w:ascii="宋体" w:hAnsi="宋体" w:eastAsia="宋体"/>
          <w:sz w:val="24"/>
          <w:szCs w:val="24"/>
        </w:rPr>
        <w:t>注： 此表与投标书正本一同装在一单独的信封内密封。</w:t>
      </w:r>
    </w:p>
    <w:sectPr>
      <w:headerReference r:id="rId4" w:type="first"/>
      <w:footerReference r:id="rId6" w:type="first"/>
      <w:headerReference r:id="rId3" w:type="default"/>
      <w:footerReference r:id="rId5" w:type="default"/>
      <w:pgSz w:w="11906" w:h="16838"/>
      <w:pgMar w:top="1418" w:right="1418" w:bottom="1418" w:left="1418" w:header="851" w:footer="992" w:gutter="0"/>
      <w:cols w:space="720" w:num="1"/>
      <w:titlePg/>
      <w:docGrid w:type="lines" w:linePitch="5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隶书">
    <w:panose1 w:val="0201050906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1"/>
      <w:rPr>
        <w:rStyle w:val="36"/>
      </w:rPr>
    </w:pPr>
    <w:r>
      <w:fldChar w:fldCharType="begin"/>
    </w:r>
    <w:r>
      <w:rPr>
        <w:rStyle w:val="36"/>
      </w:rPr>
      <w:instrText xml:space="preserve">PAGE  </w:instrText>
    </w:r>
    <w:r>
      <w:fldChar w:fldCharType="separate"/>
    </w:r>
    <w:r>
      <w:rPr>
        <w:rStyle w:val="36"/>
      </w:rPr>
      <w:t>3</w:t>
    </w:r>
    <w:r>
      <w:fldChar w:fldCharType="end"/>
    </w:r>
  </w:p>
  <w:p>
    <w:pPr>
      <w:pStyle w:val="22"/>
      <w:jc w:val="center"/>
    </w:pPr>
    <w:r>
      <w:rPr>
        <w:kern w:val="0"/>
        <w:sz w:val="20"/>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both"/>
      <w:rPr>
        <w:rFonts w:ascii="宋体" w:hAnsi="宋体" w:eastAsia="宋体"/>
      </w:rPr>
    </w:pPr>
    <w:r>
      <w:rPr>
        <w:rFonts w:hint="eastAsia" w:ascii="宋体" w:hAnsi="宋体" w:eastAsia="宋体"/>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left"/>
    </w:pPr>
    <w:r>
      <w:rPr>
        <w:rFonts w:hint="eastAsia" w:ascii="宋体" w:hAnsi="宋体" w:eastAsia="宋体"/>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pStyle w:val="42"/>
      <w:lvlText w:val="%1．"/>
      <w:lvlJc w:val="left"/>
      <w:pPr>
        <w:tabs>
          <w:tab w:val="left" w:pos="420"/>
        </w:tabs>
        <w:ind w:left="420" w:hanging="420"/>
      </w:pPr>
      <w:rPr>
        <w:rFonts w:hint="eastAsia"/>
      </w:rPr>
    </w:lvl>
    <w:lvl w:ilvl="1" w:tentative="0">
      <w:start w:val="2"/>
      <w:numFmt w:val="decimal"/>
      <w:isLgl/>
      <w:lvlText w:val="%1.%2"/>
      <w:lvlJc w:val="left"/>
      <w:pPr>
        <w:tabs>
          <w:tab w:val="left" w:pos="1125"/>
        </w:tabs>
        <w:ind w:left="1125" w:hanging="555"/>
      </w:pPr>
      <w:rPr>
        <w:rFonts w:hint="default"/>
      </w:rPr>
    </w:lvl>
    <w:lvl w:ilvl="2" w:tentative="0">
      <w:start w:val="1"/>
      <w:numFmt w:val="decimal"/>
      <w:isLgl/>
      <w:lvlText w:val="%1.%2.%3"/>
      <w:lvlJc w:val="left"/>
      <w:pPr>
        <w:tabs>
          <w:tab w:val="left" w:pos="1125"/>
        </w:tabs>
        <w:ind w:left="1125" w:hanging="555"/>
      </w:pPr>
      <w:rPr>
        <w:rFonts w:hint="default"/>
      </w:rPr>
    </w:lvl>
    <w:lvl w:ilvl="3" w:tentative="0">
      <w:start w:val="1"/>
      <w:numFmt w:val="decimal"/>
      <w:isLgl/>
      <w:lvlText w:val="%1.%2.%3.%4"/>
      <w:lvlJc w:val="left"/>
      <w:pPr>
        <w:tabs>
          <w:tab w:val="left" w:pos="1125"/>
        </w:tabs>
        <w:ind w:left="1125" w:hanging="555"/>
      </w:pPr>
      <w:rPr>
        <w:rFonts w:hint="default"/>
      </w:rPr>
    </w:lvl>
    <w:lvl w:ilvl="4" w:tentative="0">
      <w:start w:val="1"/>
      <w:numFmt w:val="decimal"/>
      <w:isLgl/>
      <w:lvlText w:val="%1.%2.%3.%4.%5"/>
      <w:lvlJc w:val="left"/>
      <w:pPr>
        <w:tabs>
          <w:tab w:val="left" w:pos="1125"/>
        </w:tabs>
        <w:ind w:left="1125" w:hanging="555"/>
      </w:pPr>
      <w:rPr>
        <w:rFonts w:hint="default"/>
      </w:rPr>
    </w:lvl>
    <w:lvl w:ilvl="5" w:tentative="0">
      <w:start w:val="1"/>
      <w:numFmt w:val="decimal"/>
      <w:isLgl/>
      <w:lvlText w:val="%1.%2.%3.%4.%5.%6"/>
      <w:lvlJc w:val="left"/>
      <w:pPr>
        <w:tabs>
          <w:tab w:val="left" w:pos="1125"/>
        </w:tabs>
        <w:ind w:left="1125" w:hanging="555"/>
      </w:pPr>
      <w:rPr>
        <w:rFonts w:hint="default"/>
      </w:rPr>
    </w:lvl>
    <w:lvl w:ilvl="6" w:tentative="0">
      <w:start w:val="1"/>
      <w:numFmt w:val="decimal"/>
      <w:isLgl/>
      <w:lvlText w:val="%1.%2.%3.%4.%5.%6.%7"/>
      <w:lvlJc w:val="left"/>
      <w:pPr>
        <w:tabs>
          <w:tab w:val="left" w:pos="1125"/>
        </w:tabs>
        <w:ind w:left="1125" w:hanging="555"/>
      </w:pPr>
      <w:rPr>
        <w:rFonts w:hint="default"/>
      </w:rPr>
    </w:lvl>
    <w:lvl w:ilvl="7" w:tentative="0">
      <w:start w:val="1"/>
      <w:numFmt w:val="decimal"/>
      <w:isLgl/>
      <w:lvlText w:val="%1.%2.%3.%4.%5.%6.%7.%8"/>
      <w:lvlJc w:val="left"/>
      <w:pPr>
        <w:tabs>
          <w:tab w:val="left" w:pos="1125"/>
        </w:tabs>
        <w:ind w:left="1125" w:hanging="555"/>
      </w:pPr>
      <w:rPr>
        <w:rFonts w:hint="default"/>
      </w:rPr>
    </w:lvl>
    <w:lvl w:ilvl="8" w:tentative="0">
      <w:start w:val="1"/>
      <w:numFmt w:val="decimal"/>
      <w:isLgl/>
      <w:lvlText w:val="%1.%2.%3.%4.%5.%6.%7.%8.%9"/>
      <w:lvlJc w:val="left"/>
      <w:pPr>
        <w:tabs>
          <w:tab w:val="left" w:pos="1125"/>
        </w:tabs>
        <w:ind w:left="1125" w:hanging="555"/>
      </w:pPr>
      <w:rPr>
        <w:rFonts w:hint="default"/>
      </w:rPr>
    </w:lvl>
  </w:abstractNum>
  <w:abstractNum w:abstractNumId="1">
    <w:nsid w:val="00000013"/>
    <w:multiLevelType w:val="multilevel"/>
    <w:tmpl w:val="00000013"/>
    <w:lvl w:ilvl="0" w:tentative="0">
      <w:start w:val="1"/>
      <w:numFmt w:val="decimal"/>
      <w:pStyle w:val="50"/>
      <w:lvlText w:val="图%1."/>
      <w:lvlJc w:val="center"/>
      <w:pPr>
        <w:tabs>
          <w:tab w:val="left" w:pos="780"/>
        </w:tabs>
        <w:ind w:left="42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33F790E"/>
    <w:multiLevelType w:val="singleLevel"/>
    <w:tmpl w:val="133F790E"/>
    <w:lvl w:ilvl="0" w:tentative="0">
      <w:start w:val="1"/>
      <w:numFmt w:val="decimal"/>
      <w:lvlText w:val="%1. "/>
      <w:legacy w:legacy="1" w:legacySpace="0" w:legacyIndent="425"/>
      <w:lvlJc w:val="left"/>
      <w:pPr>
        <w:ind w:left="905" w:hanging="425"/>
      </w:pPr>
      <w:rPr>
        <w:rFonts w:hint="eastAsia" w:ascii="宋体" w:eastAsia="宋体"/>
        <w:b w:val="0"/>
        <w:i w:val="0"/>
        <w:sz w:val="24"/>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NjMTcyNTY3ZDNkYTU3ZWIzZWVkNmYxMTg0MGFkNzQifQ=="/>
  </w:docVars>
  <w:rsids>
    <w:rsidRoot w:val="00172A27"/>
    <w:rsid w:val="00000D07"/>
    <w:rsid w:val="00003223"/>
    <w:rsid w:val="000056A9"/>
    <w:rsid w:val="00007AFE"/>
    <w:rsid w:val="00011F49"/>
    <w:rsid w:val="00013091"/>
    <w:rsid w:val="00013753"/>
    <w:rsid w:val="000138EE"/>
    <w:rsid w:val="000213D0"/>
    <w:rsid w:val="00026141"/>
    <w:rsid w:val="00030A7E"/>
    <w:rsid w:val="0003350F"/>
    <w:rsid w:val="00033938"/>
    <w:rsid w:val="0003628B"/>
    <w:rsid w:val="00036335"/>
    <w:rsid w:val="00041D96"/>
    <w:rsid w:val="00044A35"/>
    <w:rsid w:val="00050D2D"/>
    <w:rsid w:val="0006027D"/>
    <w:rsid w:val="00061450"/>
    <w:rsid w:val="000727F8"/>
    <w:rsid w:val="00077B11"/>
    <w:rsid w:val="00077C9F"/>
    <w:rsid w:val="000911F6"/>
    <w:rsid w:val="0009690C"/>
    <w:rsid w:val="000A2B55"/>
    <w:rsid w:val="000A3FCC"/>
    <w:rsid w:val="000A54A7"/>
    <w:rsid w:val="000A5B52"/>
    <w:rsid w:val="000A6AEA"/>
    <w:rsid w:val="000B75F1"/>
    <w:rsid w:val="000C1F47"/>
    <w:rsid w:val="000C4F26"/>
    <w:rsid w:val="000C6B4D"/>
    <w:rsid w:val="000C6E92"/>
    <w:rsid w:val="000C7223"/>
    <w:rsid w:val="000D1CBE"/>
    <w:rsid w:val="000E4E64"/>
    <w:rsid w:val="000E5FD5"/>
    <w:rsid w:val="000F0218"/>
    <w:rsid w:val="000F0F38"/>
    <w:rsid w:val="000F1509"/>
    <w:rsid w:val="000F1894"/>
    <w:rsid w:val="000F1F19"/>
    <w:rsid w:val="000F2BC8"/>
    <w:rsid w:val="000F479F"/>
    <w:rsid w:val="000F51AC"/>
    <w:rsid w:val="00103D6C"/>
    <w:rsid w:val="0010696C"/>
    <w:rsid w:val="00110C8D"/>
    <w:rsid w:val="00113B27"/>
    <w:rsid w:val="001152A2"/>
    <w:rsid w:val="00115D73"/>
    <w:rsid w:val="00116815"/>
    <w:rsid w:val="00116B70"/>
    <w:rsid w:val="00120D36"/>
    <w:rsid w:val="001244CC"/>
    <w:rsid w:val="00125207"/>
    <w:rsid w:val="00126EF9"/>
    <w:rsid w:val="00131E23"/>
    <w:rsid w:val="00133249"/>
    <w:rsid w:val="001337FD"/>
    <w:rsid w:val="001431CC"/>
    <w:rsid w:val="001458D8"/>
    <w:rsid w:val="00145D24"/>
    <w:rsid w:val="0015057F"/>
    <w:rsid w:val="00150BBB"/>
    <w:rsid w:val="0015319D"/>
    <w:rsid w:val="00154A27"/>
    <w:rsid w:val="0015630A"/>
    <w:rsid w:val="00162847"/>
    <w:rsid w:val="001644B0"/>
    <w:rsid w:val="001649AF"/>
    <w:rsid w:val="00166691"/>
    <w:rsid w:val="00172A27"/>
    <w:rsid w:val="0017301F"/>
    <w:rsid w:val="0017701E"/>
    <w:rsid w:val="00180BA0"/>
    <w:rsid w:val="00190926"/>
    <w:rsid w:val="00192372"/>
    <w:rsid w:val="001A6095"/>
    <w:rsid w:val="001A6D1C"/>
    <w:rsid w:val="001B0F3F"/>
    <w:rsid w:val="001B1D94"/>
    <w:rsid w:val="001B1F9B"/>
    <w:rsid w:val="001B272D"/>
    <w:rsid w:val="001C37B4"/>
    <w:rsid w:val="001D36C4"/>
    <w:rsid w:val="001D51A3"/>
    <w:rsid w:val="001D5514"/>
    <w:rsid w:val="001E642E"/>
    <w:rsid w:val="001F48BE"/>
    <w:rsid w:val="00202542"/>
    <w:rsid w:val="0021223F"/>
    <w:rsid w:val="00213636"/>
    <w:rsid w:val="00221C72"/>
    <w:rsid w:val="00222F27"/>
    <w:rsid w:val="00230F47"/>
    <w:rsid w:val="00234B23"/>
    <w:rsid w:val="00237A17"/>
    <w:rsid w:val="00240284"/>
    <w:rsid w:val="00240AC3"/>
    <w:rsid w:val="00244A4B"/>
    <w:rsid w:val="00250232"/>
    <w:rsid w:val="002506F9"/>
    <w:rsid w:val="00260CC0"/>
    <w:rsid w:val="00260F6B"/>
    <w:rsid w:val="00262229"/>
    <w:rsid w:val="00265AAE"/>
    <w:rsid w:val="0027258F"/>
    <w:rsid w:val="00273EB4"/>
    <w:rsid w:val="00274F9E"/>
    <w:rsid w:val="00277435"/>
    <w:rsid w:val="00285329"/>
    <w:rsid w:val="002859C7"/>
    <w:rsid w:val="002871FD"/>
    <w:rsid w:val="00290EB5"/>
    <w:rsid w:val="00291AA2"/>
    <w:rsid w:val="00292F5C"/>
    <w:rsid w:val="002965C0"/>
    <w:rsid w:val="00296EBE"/>
    <w:rsid w:val="002B3A94"/>
    <w:rsid w:val="002C0DB8"/>
    <w:rsid w:val="002C16BB"/>
    <w:rsid w:val="002C4CB0"/>
    <w:rsid w:val="002C73AF"/>
    <w:rsid w:val="002D1434"/>
    <w:rsid w:val="002D174F"/>
    <w:rsid w:val="002D217C"/>
    <w:rsid w:val="002D39B3"/>
    <w:rsid w:val="002D409C"/>
    <w:rsid w:val="002D56F0"/>
    <w:rsid w:val="002D5B40"/>
    <w:rsid w:val="002E2079"/>
    <w:rsid w:val="002E70BD"/>
    <w:rsid w:val="002E760D"/>
    <w:rsid w:val="002E7E06"/>
    <w:rsid w:val="002F0674"/>
    <w:rsid w:val="002F418A"/>
    <w:rsid w:val="002F7D42"/>
    <w:rsid w:val="00315058"/>
    <w:rsid w:val="00316BB3"/>
    <w:rsid w:val="0032077B"/>
    <w:rsid w:val="00323948"/>
    <w:rsid w:val="0034173B"/>
    <w:rsid w:val="00351EEC"/>
    <w:rsid w:val="00354BE5"/>
    <w:rsid w:val="00355223"/>
    <w:rsid w:val="003572CB"/>
    <w:rsid w:val="00361C95"/>
    <w:rsid w:val="00361F07"/>
    <w:rsid w:val="00363476"/>
    <w:rsid w:val="00367728"/>
    <w:rsid w:val="003711C4"/>
    <w:rsid w:val="00371407"/>
    <w:rsid w:val="00373F65"/>
    <w:rsid w:val="0038039F"/>
    <w:rsid w:val="00385341"/>
    <w:rsid w:val="0039005F"/>
    <w:rsid w:val="003922A1"/>
    <w:rsid w:val="00392DA8"/>
    <w:rsid w:val="00394CEB"/>
    <w:rsid w:val="00394DA8"/>
    <w:rsid w:val="003A55C8"/>
    <w:rsid w:val="003A7307"/>
    <w:rsid w:val="003A7621"/>
    <w:rsid w:val="003A7B53"/>
    <w:rsid w:val="003B0E2F"/>
    <w:rsid w:val="003B6A76"/>
    <w:rsid w:val="003B6FA9"/>
    <w:rsid w:val="003C1DB6"/>
    <w:rsid w:val="003C58FF"/>
    <w:rsid w:val="003F745F"/>
    <w:rsid w:val="00400F05"/>
    <w:rsid w:val="00407579"/>
    <w:rsid w:val="00416FC6"/>
    <w:rsid w:val="00421895"/>
    <w:rsid w:val="00421A1D"/>
    <w:rsid w:val="004240DB"/>
    <w:rsid w:val="004249D6"/>
    <w:rsid w:val="00430686"/>
    <w:rsid w:val="004330E7"/>
    <w:rsid w:val="00435D83"/>
    <w:rsid w:val="00436131"/>
    <w:rsid w:val="00441A1A"/>
    <w:rsid w:val="00456112"/>
    <w:rsid w:val="00464F92"/>
    <w:rsid w:val="00465D17"/>
    <w:rsid w:val="00472542"/>
    <w:rsid w:val="00473BFE"/>
    <w:rsid w:val="00473DEA"/>
    <w:rsid w:val="0047649E"/>
    <w:rsid w:val="004774E7"/>
    <w:rsid w:val="00481708"/>
    <w:rsid w:val="00481961"/>
    <w:rsid w:val="00483A5D"/>
    <w:rsid w:val="0048452E"/>
    <w:rsid w:val="004869C2"/>
    <w:rsid w:val="00487BD4"/>
    <w:rsid w:val="00487CC8"/>
    <w:rsid w:val="00487E92"/>
    <w:rsid w:val="00492D4B"/>
    <w:rsid w:val="00493F4E"/>
    <w:rsid w:val="00496769"/>
    <w:rsid w:val="004A03D3"/>
    <w:rsid w:val="004A13DF"/>
    <w:rsid w:val="004B076A"/>
    <w:rsid w:val="004B0E23"/>
    <w:rsid w:val="004B1A4A"/>
    <w:rsid w:val="004B3A64"/>
    <w:rsid w:val="004B43DF"/>
    <w:rsid w:val="004B756C"/>
    <w:rsid w:val="004C2181"/>
    <w:rsid w:val="004C37FD"/>
    <w:rsid w:val="004C48C8"/>
    <w:rsid w:val="004C4DB9"/>
    <w:rsid w:val="004C4E21"/>
    <w:rsid w:val="004C6715"/>
    <w:rsid w:val="004D4985"/>
    <w:rsid w:val="004D4E8B"/>
    <w:rsid w:val="004D6109"/>
    <w:rsid w:val="004E2035"/>
    <w:rsid w:val="004E3047"/>
    <w:rsid w:val="004E4848"/>
    <w:rsid w:val="004E4B31"/>
    <w:rsid w:val="004F3777"/>
    <w:rsid w:val="004F396C"/>
    <w:rsid w:val="00504D17"/>
    <w:rsid w:val="005051BF"/>
    <w:rsid w:val="00511ACC"/>
    <w:rsid w:val="00514D60"/>
    <w:rsid w:val="0052688A"/>
    <w:rsid w:val="00533ED4"/>
    <w:rsid w:val="00534F65"/>
    <w:rsid w:val="00536D86"/>
    <w:rsid w:val="00541730"/>
    <w:rsid w:val="00542CF8"/>
    <w:rsid w:val="00543FB5"/>
    <w:rsid w:val="00545044"/>
    <w:rsid w:val="00545417"/>
    <w:rsid w:val="00546998"/>
    <w:rsid w:val="00547C8D"/>
    <w:rsid w:val="00553B12"/>
    <w:rsid w:val="00554014"/>
    <w:rsid w:val="00563975"/>
    <w:rsid w:val="00571188"/>
    <w:rsid w:val="00573C41"/>
    <w:rsid w:val="005749F6"/>
    <w:rsid w:val="00580B92"/>
    <w:rsid w:val="00580BC5"/>
    <w:rsid w:val="005820D3"/>
    <w:rsid w:val="00585435"/>
    <w:rsid w:val="00591009"/>
    <w:rsid w:val="005A3B2A"/>
    <w:rsid w:val="005A49BA"/>
    <w:rsid w:val="005A507E"/>
    <w:rsid w:val="005B4384"/>
    <w:rsid w:val="005B7112"/>
    <w:rsid w:val="005C1136"/>
    <w:rsid w:val="005C2F87"/>
    <w:rsid w:val="005C5F94"/>
    <w:rsid w:val="005C7B7C"/>
    <w:rsid w:val="005D191A"/>
    <w:rsid w:val="005D2A97"/>
    <w:rsid w:val="005D3D32"/>
    <w:rsid w:val="005D4A97"/>
    <w:rsid w:val="005E4129"/>
    <w:rsid w:val="005E49A2"/>
    <w:rsid w:val="005E7253"/>
    <w:rsid w:val="005F0D65"/>
    <w:rsid w:val="005F13C0"/>
    <w:rsid w:val="005F266E"/>
    <w:rsid w:val="005F3B81"/>
    <w:rsid w:val="005F55D5"/>
    <w:rsid w:val="005F7832"/>
    <w:rsid w:val="006067EF"/>
    <w:rsid w:val="006118BB"/>
    <w:rsid w:val="00614EF9"/>
    <w:rsid w:val="00625DF6"/>
    <w:rsid w:val="006357C9"/>
    <w:rsid w:val="0065282F"/>
    <w:rsid w:val="00656D42"/>
    <w:rsid w:val="006606A1"/>
    <w:rsid w:val="006650D4"/>
    <w:rsid w:val="006756FE"/>
    <w:rsid w:val="0068101C"/>
    <w:rsid w:val="00683DA4"/>
    <w:rsid w:val="00693C60"/>
    <w:rsid w:val="00696F27"/>
    <w:rsid w:val="006A0CF6"/>
    <w:rsid w:val="006B36F8"/>
    <w:rsid w:val="006B3FE8"/>
    <w:rsid w:val="006B4CC2"/>
    <w:rsid w:val="006B7263"/>
    <w:rsid w:val="006C403E"/>
    <w:rsid w:val="006C44D8"/>
    <w:rsid w:val="006C4540"/>
    <w:rsid w:val="006D104C"/>
    <w:rsid w:val="006D53D3"/>
    <w:rsid w:val="006D5C0D"/>
    <w:rsid w:val="006D5CCE"/>
    <w:rsid w:val="006E3F3A"/>
    <w:rsid w:val="006F03B8"/>
    <w:rsid w:val="007117AF"/>
    <w:rsid w:val="0071185A"/>
    <w:rsid w:val="0071587B"/>
    <w:rsid w:val="00715C00"/>
    <w:rsid w:val="007310BF"/>
    <w:rsid w:val="00735F1A"/>
    <w:rsid w:val="00740C9F"/>
    <w:rsid w:val="00742DB2"/>
    <w:rsid w:val="007501F8"/>
    <w:rsid w:val="00750D1B"/>
    <w:rsid w:val="00752882"/>
    <w:rsid w:val="00753FB3"/>
    <w:rsid w:val="00755749"/>
    <w:rsid w:val="0075746D"/>
    <w:rsid w:val="00760FC4"/>
    <w:rsid w:val="007620D8"/>
    <w:rsid w:val="00766A18"/>
    <w:rsid w:val="00767F83"/>
    <w:rsid w:val="00770681"/>
    <w:rsid w:val="00773114"/>
    <w:rsid w:val="0077570E"/>
    <w:rsid w:val="007904D0"/>
    <w:rsid w:val="00792D65"/>
    <w:rsid w:val="00796FC7"/>
    <w:rsid w:val="007A063E"/>
    <w:rsid w:val="007A09DC"/>
    <w:rsid w:val="007A2D8C"/>
    <w:rsid w:val="007B2CD4"/>
    <w:rsid w:val="007B66CA"/>
    <w:rsid w:val="007C0162"/>
    <w:rsid w:val="007C6710"/>
    <w:rsid w:val="007D0A1F"/>
    <w:rsid w:val="007E2022"/>
    <w:rsid w:val="007F0164"/>
    <w:rsid w:val="007F0493"/>
    <w:rsid w:val="007F0708"/>
    <w:rsid w:val="007F0E01"/>
    <w:rsid w:val="0080044E"/>
    <w:rsid w:val="00806E35"/>
    <w:rsid w:val="00811C57"/>
    <w:rsid w:val="00812035"/>
    <w:rsid w:val="008129CC"/>
    <w:rsid w:val="00815469"/>
    <w:rsid w:val="00822AF2"/>
    <w:rsid w:val="00824726"/>
    <w:rsid w:val="00833D83"/>
    <w:rsid w:val="008344E8"/>
    <w:rsid w:val="008362CE"/>
    <w:rsid w:val="0084571F"/>
    <w:rsid w:val="00852DC2"/>
    <w:rsid w:val="008543EE"/>
    <w:rsid w:val="00854828"/>
    <w:rsid w:val="008561F8"/>
    <w:rsid w:val="00860C51"/>
    <w:rsid w:val="00860C73"/>
    <w:rsid w:val="00863904"/>
    <w:rsid w:val="00865EC3"/>
    <w:rsid w:val="0087007E"/>
    <w:rsid w:val="008719F5"/>
    <w:rsid w:val="008720A3"/>
    <w:rsid w:val="008731AD"/>
    <w:rsid w:val="008805A8"/>
    <w:rsid w:val="008812FF"/>
    <w:rsid w:val="0088365A"/>
    <w:rsid w:val="00890FB6"/>
    <w:rsid w:val="0089503B"/>
    <w:rsid w:val="00895DDE"/>
    <w:rsid w:val="008A16AA"/>
    <w:rsid w:val="008A1775"/>
    <w:rsid w:val="008A2132"/>
    <w:rsid w:val="008A457D"/>
    <w:rsid w:val="008A6499"/>
    <w:rsid w:val="008B1AFE"/>
    <w:rsid w:val="008B2DEC"/>
    <w:rsid w:val="008B3C55"/>
    <w:rsid w:val="008B62B1"/>
    <w:rsid w:val="008B674C"/>
    <w:rsid w:val="008B6A34"/>
    <w:rsid w:val="008B6CBD"/>
    <w:rsid w:val="008B71E7"/>
    <w:rsid w:val="008B78D5"/>
    <w:rsid w:val="008D1975"/>
    <w:rsid w:val="008D27D0"/>
    <w:rsid w:val="008E1404"/>
    <w:rsid w:val="008E1E86"/>
    <w:rsid w:val="008E2919"/>
    <w:rsid w:val="00902176"/>
    <w:rsid w:val="00904D41"/>
    <w:rsid w:val="00907A8A"/>
    <w:rsid w:val="00913BBA"/>
    <w:rsid w:val="0091409F"/>
    <w:rsid w:val="009352BA"/>
    <w:rsid w:val="00950086"/>
    <w:rsid w:val="00954599"/>
    <w:rsid w:val="0095632A"/>
    <w:rsid w:val="00957181"/>
    <w:rsid w:val="009576A8"/>
    <w:rsid w:val="0096044E"/>
    <w:rsid w:val="00972013"/>
    <w:rsid w:val="009723CB"/>
    <w:rsid w:val="009724BC"/>
    <w:rsid w:val="00972D5A"/>
    <w:rsid w:val="009737B4"/>
    <w:rsid w:val="0097473B"/>
    <w:rsid w:val="00976536"/>
    <w:rsid w:val="0097692A"/>
    <w:rsid w:val="00980C5F"/>
    <w:rsid w:val="00996CEA"/>
    <w:rsid w:val="009A09FD"/>
    <w:rsid w:val="009A3450"/>
    <w:rsid w:val="009A6B6A"/>
    <w:rsid w:val="009A7A26"/>
    <w:rsid w:val="009B1A42"/>
    <w:rsid w:val="009B290D"/>
    <w:rsid w:val="009B2AC4"/>
    <w:rsid w:val="009B42CB"/>
    <w:rsid w:val="009B7170"/>
    <w:rsid w:val="009B743E"/>
    <w:rsid w:val="009C6014"/>
    <w:rsid w:val="009C74EC"/>
    <w:rsid w:val="009D0F9C"/>
    <w:rsid w:val="009D33E1"/>
    <w:rsid w:val="009E0548"/>
    <w:rsid w:val="009E2063"/>
    <w:rsid w:val="009F4F64"/>
    <w:rsid w:val="009F6F0C"/>
    <w:rsid w:val="00A01D2A"/>
    <w:rsid w:val="00A05BC0"/>
    <w:rsid w:val="00A22F6B"/>
    <w:rsid w:val="00A22F8A"/>
    <w:rsid w:val="00A23A10"/>
    <w:rsid w:val="00A332EA"/>
    <w:rsid w:val="00A3583B"/>
    <w:rsid w:val="00A36124"/>
    <w:rsid w:val="00A3619F"/>
    <w:rsid w:val="00A40878"/>
    <w:rsid w:val="00A455E5"/>
    <w:rsid w:val="00A54EFA"/>
    <w:rsid w:val="00A56F00"/>
    <w:rsid w:val="00A61A88"/>
    <w:rsid w:val="00A64B44"/>
    <w:rsid w:val="00A64EA7"/>
    <w:rsid w:val="00A71D88"/>
    <w:rsid w:val="00A747A2"/>
    <w:rsid w:val="00A775C1"/>
    <w:rsid w:val="00A872B1"/>
    <w:rsid w:val="00A94934"/>
    <w:rsid w:val="00A94ADE"/>
    <w:rsid w:val="00A95155"/>
    <w:rsid w:val="00A95EE3"/>
    <w:rsid w:val="00A96E11"/>
    <w:rsid w:val="00AA0B0A"/>
    <w:rsid w:val="00AA11A9"/>
    <w:rsid w:val="00AA61C9"/>
    <w:rsid w:val="00AA7C48"/>
    <w:rsid w:val="00AB1801"/>
    <w:rsid w:val="00AC22C5"/>
    <w:rsid w:val="00AC26EF"/>
    <w:rsid w:val="00AC275D"/>
    <w:rsid w:val="00AC782B"/>
    <w:rsid w:val="00AD0C8D"/>
    <w:rsid w:val="00AD3687"/>
    <w:rsid w:val="00AE5D31"/>
    <w:rsid w:val="00B01B8A"/>
    <w:rsid w:val="00B01DC2"/>
    <w:rsid w:val="00B03381"/>
    <w:rsid w:val="00B105AA"/>
    <w:rsid w:val="00B14EA5"/>
    <w:rsid w:val="00B17C2D"/>
    <w:rsid w:val="00B20202"/>
    <w:rsid w:val="00B20B43"/>
    <w:rsid w:val="00B21147"/>
    <w:rsid w:val="00B2396D"/>
    <w:rsid w:val="00B27C72"/>
    <w:rsid w:val="00B3158F"/>
    <w:rsid w:val="00B32447"/>
    <w:rsid w:val="00B33744"/>
    <w:rsid w:val="00B34C6C"/>
    <w:rsid w:val="00B5304F"/>
    <w:rsid w:val="00B57972"/>
    <w:rsid w:val="00B609BA"/>
    <w:rsid w:val="00B668E9"/>
    <w:rsid w:val="00B679C6"/>
    <w:rsid w:val="00B67F57"/>
    <w:rsid w:val="00B71895"/>
    <w:rsid w:val="00B7258A"/>
    <w:rsid w:val="00B80D12"/>
    <w:rsid w:val="00B81CE4"/>
    <w:rsid w:val="00B82166"/>
    <w:rsid w:val="00B84A04"/>
    <w:rsid w:val="00B866E3"/>
    <w:rsid w:val="00B9197C"/>
    <w:rsid w:val="00B9414F"/>
    <w:rsid w:val="00B94AF5"/>
    <w:rsid w:val="00BA0352"/>
    <w:rsid w:val="00BA6EF1"/>
    <w:rsid w:val="00BB1FF9"/>
    <w:rsid w:val="00BB2F88"/>
    <w:rsid w:val="00BB3306"/>
    <w:rsid w:val="00BB78F0"/>
    <w:rsid w:val="00BB7DB8"/>
    <w:rsid w:val="00BC32D1"/>
    <w:rsid w:val="00BC3E3D"/>
    <w:rsid w:val="00BC5820"/>
    <w:rsid w:val="00BC5D0F"/>
    <w:rsid w:val="00BC7E2B"/>
    <w:rsid w:val="00BD22A3"/>
    <w:rsid w:val="00BD28A1"/>
    <w:rsid w:val="00BD3964"/>
    <w:rsid w:val="00BD3A53"/>
    <w:rsid w:val="00BD4C0E"/>
    <w:rsid w:val="00BD5A05"/>
    <w:rsid w:val="00BE0718"/>
    <w:rsid w:val="00BE4531"/>
    <w:rsid w:val="00BE5838"/>
    <w:rsid w:val="00BE77BC"/>
    <w:rsid w:val="00BF3931"/>
    <w:rsid w:val="00BF653D"/>
    <w:rsid w:val="00BF710E"/>
    <w:rsid w:val="00BF73E8"/>
    <w:rsid w:val="00C03C4A"/>
    <w:rsid w:val="00C0693A"/>
    <w:rsid w:val="00C07ABB"/>
    <w:rsid w:val="00C12592"/>
    <w:rsid w:val="00C12E1E"/>
    <w:rsid w:val="00C142C0"/>
    <w:rsid w:val="00C1620C"/>
    <w:rsid w:val="00C249F0"/>
    <w:rsid w:val="00C25121"/>
    <w:rsid w:val="00C26570"/>
    <w:rsid w:val="00C26F77"/>
    <w:rsid w:val="00C27DD3"/>
    <w:rsid w:val="00C30D0E"/>
    <w:rsid w:val="00C3181C"/>
    <w:rsid w:val="00C32A37"/>
    <w:rsid w:val="00C32BC0"/>
    <w:rsid w:val="00C359FF"/>
    <w:rsid w:val="00C372B5"/>
    <w:rsid w:val="00C40947"/>
    <w:rsid w:val="00C41D7F"/>
    <w:rsid w:val="00C4424B"/>
    <w:rsid w:val="00C47683"/>
    <w:rsid w:val="00C57F45"/>
    <w:rsid w:val="00C71D91"/>
    <w:rsid w:val="00C7251A"/>
    <w:rsid w:val="00C7755E"/>
    <w:rsid w:val="00C8515E"/>
    <w:rsid w:val="00C87112"/>
    <w:rsid w:val="00C92FF8"/>
    <w:rsid w:val="00C933FA"/>
    <w:rsid w:val="00C965BF"/>
    <w:rsid w:val="00C96A2C"/>
    <w:rsid w:val="00CA02A3"/>
    <w:rsid w:val="00CA03E4"/>
    <w:rsid w:val="00CA2C96"/>
    <w:rsid w:val="00CA3C99"/>
    <w:rsid w:val="00CA5C1E"/>
    <w:rsid w:val="00CA6B7E"/>
    <w:rsid w:val="00CB1F57"/>
    <w:rsid w:val="00CB6CF0"/>
    <w:rsid w:val="00CC1943"/>
    <w:rsid w:val="00CC4546"/>
    <w:rsid w:val="00CC522C"/>
    <w:rsid w:val="00CD084E"/>
    <w:rsid w:val="00CD1A53"/>
    <w:rsid w:val="00CD23F1"/>
    <w:rsid w:val="00CD4697"/>
    <w:rsid w:val="00CD4C58"/>
    <w:rsid w:val="00CD519A"/>
    <w:rsid w:val="00CE2431"/>
    <w:rsid w:val="00CF0B94"/>
    <w:rsid w:val="00CF1BA0"/>
    <w:rsid w:val="00D07F2B"/>
    <w:rsid w:val="00D07F61"/>
    <w:rsid w:val="00D116AF"/>
    <w:rsid w:val="00D21045"/>
    <w:rsid w:val="00D258AD"/>
    <w:rsid w:val="00D34738"/>
    <w:rsid w:val="00D417B9"/>
    <w:rsid w:val="00D47FF4"/>
    <w:rsid w:val="00D54280"/>
    <w:rsid w:val="00D57B98"/>
    <w:rsid w:val="00D63150"/>
    <w:rsid w:val="00D63AC6"/>
    <w:rsid w:val="00D6465E"/>
    <w:rsid w:val="00D65452"/>
    <w:rsid w:val="00D67ECA"/>
    <w:rsid w:val="00D70B42"/>
    <w:rsid w:val="00D7290A"/>
    <w:rsid w:val="00D8281B"/>
    <w:rsid w:val="00D83CBD"/>
    <w:rsid w:val="00D84F52"/>
    <w:rsid w:val="00D86CBF"/>
    <w:rsid w:val="00D9414A"/>
    <w:rsid w:val="00D967F0"/>
    <w:rsid w:val="00DA2AAA"/>
    <w:rsid w:val="00DA3422"/>
    <w:rsid w:val="00DB1849"/>
    <w:rsid w:val="00DB31AB"/>
    <w:rsid w:val="00DC22AA"/>
    <w:rsid w:val="00DD0692"/>
    <w:rsid w:val="00DD44F1"/>
    <w:rsid w:val="00DE4B01"/>
    <w:rsid w:val="00DE5191"/>
    <w:rsid w:val="00DE75E5"/>
    <w:rsid w:val="00DE7C43"/>
    <w:rsid w:val="00DE7C7A"/>
    <w:rsid w:val="00DF2E66"/>
    <w:rsid w:val="00DF3FF8"/>
    <w:rsid w:val="00DF4055"/>
    <w:rsid w:val="00E00D32"/>
    <w:rsid w:val="00E00E6B"/>
    <w:rsid w:val="00E01685"/>
    <w:rsid w:val="00E05D0B"/>
    <w:rsid w:val="00E07B23"/>
    <w:rsid w:val="00E1178D"/>
    <w:rsid w:val="00E1397B"/>
    <w:rsid w:val="00E146CB"/>
    <w:rsid w:val="00E16EB1"/>
    <w:rsid w:val="00E17A45"/>
    <w:rsid w:val="00E17F01"/>
    <w:rsid w:val="00E203D8"/>
    <w:rsid w:val="00E26F6B"/>
    <w:rsid w:val="00E2751F"/>
    <w:rsid w:val="00E305B3"/>
    <w:rsid w:val="00E40519"/>
    <w:rsid w:val="00E40F86"/>
    <w:rsid w:val="00E448D7"/>
    <w:rsid w:val="00E5203B"/>
    <w:rsid w:val="00E52A7F"/>
    <w:rsid w:val="00E550F3"/>
    <w:rsid w:val="00E56732"/>
    <w:rsid w:val="00E75FCC"/>
    <w:rsid w:val="00E76893"/>
    <w:rsid w:val="00E82EFC"/>
    <w:rsid w:val="00E92C71"/>
    <w:rsid w:val="00EB3915"/>
    <w:rsid w:val="00EB4D7D"/>
    <w:rsid w:val="00EB6728"/>
    <w:rsid w:val="00EB73DB"/>
    <w:rsid w:val="00EC28AA"/>
    <w:rsid w:val="00EC34E3"/>
    <w:rsid w:val="00EC3BC0"/>
    <w:rsid w:val="00EC797A"/>
    <w:rsid w:val="00ED1517"/>
    <w:rsid w:val="00ED35CD"/>
    <w:rsid w:val="00ED5DCF"/>
    <w:rsid w:val="00ED6757"/>
    <w:rsid w:val="00ED679D"/>
    <w:rsid w:val="00ED6F9A"/>
    <w:rsid w:val="00ED78DF"/>
    <w:rsid w:val="00ED7A1D"/>
    <w:rsid w:val="00EE0C7F"/>
    <w:rsid w:val="00EE1FDD"/>
    <w:rsid w:val="00EE7B6D"/>
    <w:rsid w:val="00EF3325"/>
    <w:rsid w:val="00EF4FEE"/>
    <w:rsid w:val="00EF7F9B"/>
    <w:rsid w:val="00F01A4C"/>
    <w:rsid w:val="00F02315"/>
    <w:rsid w:val="00F061A2"/>
    <w:rsid w:val="00F07A90"/>
    <w:rsid w:val="00F14B1D"/>
    <w:rsid w:val="00F16853"/>
    <w:rsid w:val="00F21C34"/>
    <w:rsid w:val="00F26BCE"/>
    <w:rsid w:val="00F27264"/>
    <w:rsid w:val="00F31245"/>
    <w:rsid w:val="00F323B0"/>
    <w:rsid w:val="00F336A0"/>
    <w:rsid w:val="00F37892"/>
    <w:rsid w:val="00F42798"/>
    <w:rsid w:val="00F43950"/>
    <w:rsid w:val="00F4551A"/>
    <w:rsid w:val="00F4620C"/>
    <w:rsid w:val="00F47632"/>
    <w:rsid w:val="00F47D73"/>
    <w:rsid w:val="00F51C60"/>
    <w:rsid w:val="00F54B67"/>
    <w:rsid w:val="00F60618"/>
    <w:rsid w:val="00F65550"/>
    <w:rsid w:val="00F752DB"/>
    <w:rsid w:val="00F76EEE"/>
    <w:rsid w:val="00F77E40"/>
    <w:rsid w:val="00F77FC8"/>
    <w:rsid w:val="00F8156A"/>
    <w:rsid w:val="00F85435"/>
    <w:rsid w:val="00F85507"/>
    <w:rsid w:val="00F85968"/>
    <w:rsid w:val="00F904EE"/>
    <w:rsid w:val="00F97E32"/>
    <w:rsid w:val="00FA0E5F"/>
    <w:rsid w:val="00FA5A0B"/>
    <w:rsid w:val="00FA5D63"/>
    <w:rsid w:val="00FB0592"/>
    <w:rsid w:val="00FB0CDA"/>
    <w:rsid w:val="00FC2B25"/>
    <w:rsid w:val="00FC438C"/>
    <w:rsid w:val="00FC59AF"/>
    <w:rsid w:val="00FD305B"/>
    <w:rsid w:val="00FD54DC"/>
    <w:rsid w:val="00FD5E56"/>
    <w:rsid w:val="00FE1D7B"/>
    <w:rsid w:val="00FE2A39"/>
    <w:rsid w:val="00FE6761"/>
    <w:rsid w:val="00FF0D73"/>
    <w:rsid w:val="00FF1F46"/>
    <w:rsid w:val="00FF5988"/>
    <w:rsid w:val="0F7B4334"/>
    <w:rsid w:val="20DB08B9"/>
    <w:rsid w:val="7CDE3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qFormat="1" w:unhideWhenUsed="0" w:uiPriority="0" w:semiHidden="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楷体_GB2312" w:cs="Times New Roman"/>
      <w:kern w:val="2"/>
      <w:sz w:val="30"/>
      <w:lang w:val="en-US" w:eastAsia="zh-CN" w:bidi="ar-SA"/>
    </w:rPr>
  </w:style>
  <w:style w:type="paragraph" w:styleId="2">
    <w:name w:val="heading 1"/>
    <w:basedOn w:val="1"/>
    <w:next w:val="1"/>
    <w:qFormat/>
    <w:uiPriority w:val="0"/>
    <w:pPr>
      <w:keepNext/>
      <w:spacing w:beforeLines="100" w:line="360" w:lineRule="auto"/>
      <w:outlineLvl w:val="0"/>
    </w:pPr>
    <w:rPr>
      <w:rFonts w:eastAsia="宋体"/>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2"/>
    <w:next w:val="1"/>
    <w:qFormat/>
    <w:uiPriority w:val="0"/>
    <w:pPr>
      <w:spacing w:beforeLines="0" w:after="180" w:line="240" w:lineRule="auto"/>
      <w:outlineLvl w:val="2"/>
    </w:pPr>
    <w:rPr>
      <w:rFonts w:ascii="Arial" w:hAnsi="Arial" w:eastAsia="黑体"/>
      <w:b/>
      <w:color w:val="000000"/>
      <w:sz w:val="24"/>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qFormat/>
    <w:uiPriority w:val="0"/>
    <w:pPr>
      <w:keepNext/>
      <w:keepLines/>
      <w:spacing w:before="280" w:after="290" w:line="372" w:lineRule="auto"/>
      <w:outlineLvl w:val="4"/>
    </w:pPr>
    <w:rPr>
      <w:rFonts w:eastAsia="宋体"/>
      <w:b/>
      <w:sz w:val="28"/>
    </w:rPr>
  </w:style>
  <w:style w:type="paragraph" w:styleId="7">
    <w:name w:val="heading 6"/>
    <w:basedOn w:val="1"/>
    <w:next w:val="1"/>
    <w:qFormat/>
    <w:uiPriority w:val="0"/>
    <w:pPr>
      <w:keepNext/>
      <w:keepLines/>
      <w:spacing w:before="240" w:after="64" w:line="317" w:lineRule="auto"/>
      <w:outlineLvl w:val="5"/>
    </w:pPr>
    <w:rPr>
      <w:rFonts w:ascii="Arial" w:hAnsi="Arial" w:eastAsia="黑体"/>
      <w:b/>
      <w:sz w:val="24"/>
    </w:rPr>
  </w:style>
  <w:style w:type="paragraph" w:styleId="8">
    <w:name w:val="heading 7"/>
    <w:basedOn w:val="1"/>
    <w:next w:val="1"/>
    <w:qFormat/>
    <w:uiPriority w:val="0"/>
    <w:pPr>
      <w:keepNext/>
      <w:keepLines/>
      <w:spacing w:before="240" w:after="64" w:line="317" w:lineRule="auto"/>
      <w:outlineLvl w:val="6"/>
    </w:pPr>
    <w:rPr>
      <w:rFonts w:eastAsia="宋体"/>
      <w:b/>
      <w:sz w:val="24"/>
    </w:rPr>
  </w:style>
  <w:style w:type="paragraph" w:styleId="9">
    <w:name w:val="heading 8"/>
    <w:basedOn w:val="1"/>
    <w:next w:val="1"/>
    <w:qFormat/>
    <w:uiPriority w:val="0"/>
    <w:pPr>
      <w:keepNext/>
      <w:keepLines/>
      <w:spacing w:before="240" w:after="64" w:line="317" w:lineRule="auto"/>
      <w:outlineLvl w:val="7"/>
    </w:pPr>
    <w:rPr>
      <w:rFonts w:ascii="Arial" w:hAnsi="Arial" w:eastAsia="黑体"/>
      <w:sz w:val="24"/>
    </w:rPr>
  </w:style>
  <w:style w:type="paragraph" w:styleId="10">
    <w:name w:val="heading 9"/>
    <w:basedOn w:val="1"/>
    <w:next w:val="1"/>
    <w:qFormat/>
    <w:uiPriority w:val="0"/>
    <w:pPr>
      <w:keepNext/>
      <w:keepLines/>
      <w:spacing w:before="240" w:after="64" w:line="317" w:lineRule="auto"/>
      <w:outlineLvl w:val="8"/>
    </w:pPr>
    <w:rPr>
      <w:rFonts w:ascii="Arial" w:hAnsi="Arial" w:eastAsia="黑体"/>
      <w:sz w:val="21"/>
    </w:rPr>
  </w:style>
  <w:style w:type="character" w:default="1" w:styleId="34">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rPr>
      <w:rFonts w:eastAsia="宋体"/>
      <w:sz w:val="21"/>
    </w:rPr>
  </w:style>
  <w:style w:type="paragraph" w:styleId="12">
    <w:name w:val="Normal Indent"/>
    <w:basedOn w:val="1"/>
    <w:qFormat/>
    <w:uiPriority w:val="0"/>
    <w:pPr>
      <w:adjustRightInd w:val="0"/>
      <w:spacing w:line="360" w:lineRule="atLeast"/>
      <w:ind w:firstLine="482"/>
      <w:textAlignment w:val="baseline"/>
    </w:pPr>
    <w:rPr>
      <w:rFonts w:eastAsia="宋体"/>
      <w:kern w:val="0"/>
      <w:sz w:val="24"/>
    </w:rPr>
  </w:style>
  <w:style w:type="paragraph" w:styleId="13">
    <w:name w:val="Document Map"/>
    <w:basedOn w:val="1"/>
    <w:qFormat/>
    <w:uiPriority w:val="0"/>
    <w:pPr>
      <w:shd w:val="clear" w:color="auto" w:fill="000080"/>
    </w:pPr>
    <w:rPr>
      <w:rFonts w:eastAsia="宋体"/>
      <w:sz w:val="21"/>
      <w:szCs w:val="24"/>
    </w:rPr>
  </w:style>
  <w:style w:type="paragraph" w:styleId="14">
    <w:name w:val="annotation text"/>
    <w:basedOn w:val="1"/>
    <w:qFormat/>
    <w:uiPriority w:val="0"/>
    <w:pPr>
      <w:jc w:val="left"/>
    </w:pPr>
    <w:rPr>
      <w:rFonts w:eastAsia="宋体"/>
      <w:sz w:val="21"/>
      <w:szCs w:val="24"/>
    </w:rPr>
  </w:style>
  <w:style w:type="paragraph" w:styleId="15">
    <w:name w:val="Body Text"/>
    <w:basedOn w:val="1"/>
    <w:qFormat/>
    <w:uiPriority w:val="0"/>
    <w:pPr>
      <w:widowControl/>
      <w:spacing w:line="320" w:lineRule="atLeast"/>
    </w:pPr>
    <w:rPr>
      <w:rFonts w:eastAsia="隶书"/>
      <w:b/>
      <w:kern w:val="0"/>
      <w:sz w:val="44"/>
    </w:rPr>
  </w:style>
  <w:style w:type="paragraph" w:styleId="16">
    <w:name w:val="Body Text Indent"/>
    <w:basedOn w:val="1"/>
    <w:qFormat/>
    <w:uiPriority w:val="0"/>
    <w:pPr>
      <w:ind w:firstLine="570"/>
    </w:pPr>
    <w:rPr>
      <w:rFonts w:ascii="宋体" w:eastAsia="宋体"/>
      <w:sz w:val="28"/>
    </w:rPr>
  </w:style>
  <w:style w:type="paragraph" w:styleId="17">
    <w:name w:val="List 2"/>
    <w:basedOn w:val="1"/>
    <w:qFormat/>
    <w:uiPriority w:val="0"/>
    <w:pPr>
      <w:ind w:left="100" w:leftChars="200" w:hanging="200" w:hangingChars="200"/>
    </w:pPr>
    <w:rPr>
      <w:rFonts w:eastAsia="宋体"/>
      <w:sz w:val="21"/>
    </w:rPr>
  </w:style>
  <w:style w:type="paragraph" w:styleId="18">
    <w:name w:val="Plain Text"/>
    <w:basedOn w:val="1"/>
    <w:link w:val="43"/>
    <w:qFormat/>
    <w:uiPriority w:val="0"/>
    <w:rPr>
      <w:rFonts w:ascii="宋体" w:hAnsi="Courier New" w:eastAsia="宋体"/>
      <w:sz w:val="21"/>
    </w:rPr>
  </w:style>
  <w:style w:type="paragraph" w:styleId="19">
    <w:name w:val="Date"/>
    <w:basedOn w:val="1"/>
    <w:next w:val="1"/>
    <w:qFormat/>
    <w:uiPriority w:val="0"/>
  </w:style>
  <w:style w:type="paragraph" w:styleId="20">
    <w:name w:val="Body Text Indent 2"/>
    <w:basedOn w:val="1"/>
    <w:qFormat/>
    <w:uiPriority w:val="0"/>
    <w:pPr>
      <w:ind w:firstLine="420" w:firstLineChars="200"/>
    </w:pPr>
    <w:rPr>
      <w:rFonts w:eastAsia="宋体"/>
      <w:sz w:val="21"/>
    </w:rPr>
  </w:style>
  <w:style w:type="paragraph" w:styleId="21">
    <w:name w:val="Balloon Text"/>
    <w:basedOn w:val="1"/>
    <w:qFormat/>
    <w:uiPriority w:val="0"/>
    <w:rPr>
      <w:sz w:val="18"/>
    </w:rPr>
  </w:style>
  <w:style w:type="paragraph" w:styleId="22">
    <w:name w:val="footer"/>
    <w:basedOn w:val="1"/>
    <w:qFormat/>
    <w:uiPriority w:val="0"/>
    <w:pPr>
      <w:tabs>
        <w:tab w:val="center" w:pos="4153"/>
        <w:tab w:val="right" w:pos="8306"/>
      </w:tabs>
      <w:snapToGrid w:val="0"/>
      <w:jc w:val="left"/>
    </w:pPr>
    <w:rPr>
      <w:sz w:val="18"/>
    </w:rPr>
  </w:style>
  <w:style w:type="paragraph" w:styleId="23">
    <w:name w:val="header"/>
    <w:basedOn w:val="1"/>
    <w:link w:val="44"/>
    <w:qFormat/>
    <w:uiPriority w:val="0"/>
    <w:pPr>
      <w:pBdr>
        <w:bottom w:val="single" w:color="auto" w:sz="6" w:space="1"/>
      </w:pBdr>
      <w:tabs>
        <w:tab w:val="center" w:pos="4153"/>
        <w:tab w:val="right" w:pos="8306"/>
      </w:tabs>
      <w:snapToGrid w:val="0"/>
      <w:jc w:val="center"/>
    </w:pPr>
    <w:rPr>
      <w:sz w:val="18"/>
    </w:rPr>
  </w:style>
  <w:style w:type="paragraph" w:styleId="24">
    <w:name w:val="toc 1"/>
    <w:basedOn w:val="1"/>
    <w:next w:val="1"/>
    <w:qFormat/>
    <w:uiPriority w:val="0"/>
    <w:pPr>
      <w:spacing w:line="360" w:lineRule="auto"/>
    </w:pPr>
    <w:rPr>
      <w:rFonts w:ascii="宋体" w:hAnsi="宋体" w:eastAsia="宋体"/>
      <w:spacing w:val="-6"/>
      <w:sz w:val="21"/>
      <w:szCs w:val="24"/>
    </w:rPr>
  </w:style>
  <w:style w:type="paragraph" w:styleId="25">
    <w:name w:val="List"/>
    <w:basedOn w:val="1"/>
    <w:qFormat/>
    <w:uiPriority w:val="0"/>
    <w:pPr>
      <w:ind w:left="200" w:hanging="200" w:hangingChars="200"/>
    </w:pPr>
    <w:rPr>
      <w:rFonts w:eastAsia="宋体"/>
      <w:sz w:val="21"/>
    </w:rPr>
  </w:style>
  <w:style w:type="paragraph" w:styleId="26">
    <w:name w:val="Body Text Indent 3"/>
    <w:basedOn w:val="1"/>
    <w:qFormat/>
    <w:uiPriority w:val="0"/>
    <w:pPr>
      <w:adjustRightInd w:val="0"/>
      <w:snapToGrid w:val="0"/>
      <w:spacing w:line="336" w:lineRule="auto"/>
      <w:ind w:firstLine="435"/>
    </w:pPr>
    <w:rPr>
      <w:rFonts w:eastAsia="宋体"/>
      <w:sz w:val="21"/>
    </w:rPr>
  </w:style>
  <w:style w:type="paragraph" w:styleId="27">
    <w:name w:val="Body Text 2"/>
    <w:basedOn w:val="1"/>
    <w:qFormat/>
    <w:uiPriority w:val="0"/>
    <w:pPr>
      <w:spacing w:after="120" w:line="480" w:lineRule="auto"/>
    </w:pPr>
    <w:rPr>
      <w:rFonts w:eastAsia="宋体"/>
      <w:sz w:val="21"/>
      <w:szCs w:val="24"/>
    </w:rPr>
  </w:style>
  <w:style w:type="paragraph" w:styleId="28">
    <w:name w:val="List 4"/>
    <w:basedOn w:val="1"/>
    <w:qFormat/>
    <w:uiPriority w:val="0"/>
    <w:pPr>
      <w:ind w:left="100" w:leftChars="600" w:hanging="200" w:hangingChars="200"/>
    </w:pPr>
    <w:rPr>
      <w:rFonts w:eastAsia="宋体"/>
      <w:sz w:val="21"/>
    </w:rPr>
  </w:style>
  <w:style w:type="paragraph" w:styleId="2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rPr>
  </w:style>
  <w:style w:type="paragraph" w:styleId="30">
    <w:name w:val="Normal (Web)"/>
    <w:basedOn w:val="1"/>
    <w:qFormat/>
    <w:uiPriority w:val="0"/>
    <w:pPr>
      <w:widowControl/>
      <w:spacing w:before="100" w:beforeAutospacing="1" w:after="100" w:afterAutospacing="1"/>
      <w:jc w:val="left"/>
    </w:pPr>
    <w:rPr>
      <w:rFonts w:ascii="宋体" w:hAnsi="宋体" w:eastAsia="宋体"/>
      <w:kern w:val="0"/>
      <w:sz w:val="24"/>
    </w:rPr>
  </w:style>
  <w:style w:type="paragraph" w:styleId="31">
    <w:name w:val="Body Text First Indent"/>
    <w:basedOn w:val="15"/>
    <w:qFormat/>
    <w:uiPriority w:val="0"/>
    <w:pPr>
      <w:widowControl w:val="0"/>
      <w:spacing w:after="120" w:line="240" w:lineRule="auto"/>
      <w:ind w:firstLine="420" w:firstLineChars="100"/>
    </w:pPr>
    <w:rPr>
      <w:rFonts w:eastAsia="宋体"/>
      <w:b w:val="0"/>
      <w:kern w:val="2"/>
      <w:sz w:val="21"/>
    </w:rPr>
  </w:style>
  <w:style w:type="table" w:styleId="33">
    <w:name w:val="Table Grid"/>
    <w:basedOn w:val="32"/>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0"/>
    <w:rPr>
      <w:b/>
    </w:rPr>
  </w:style>
  <w:style w:type="character" w:styleId="36">
    <w:name w:val="page number"/>
    <w:basedOn w:val="34"/>
    <w:qFormat/>
    <w:uiPriority w:val="0"/>
  </w:style>
  <w:style w:type="character" w:styleId="37">
    <w:name w:val="Emphasis"/>
    <w:basedOn w:val="34"/>
    <w:qFormat/>
    <w:uiPriority w:val="20"/>
    <w:rPr>
      <w:i/>
      <w:iCs/>
    </w:rPr>
  </w:style>
  <w:style w:type="character" w:styleId="38">
    <w:name w:val="Hyperlink"/>
    <w:basedOn w:val="34"/>
    <w:qFormat/>
    <w:uiPriority w:val="0"/>
    <w:rPr>
      <w:color w:val="0000FF"/>
      <w:u w:val="single"/>
    </w:rPr>
  </w:style>
  <w:style w:type="character" w:styleId="39">
    <w:name w:val="annotation reference"/>
    <w:basedOn w:val="34"/>
    <w:qFormat/>
    <w:uiPriority w:val="0"/>
    <w:rPr>
      <w:sz w:val="21"/>
      <w:szCs w:val="21"/>
    </w:rPr>
  </w:style>
  <w:style w:type="character" w:customStyle="1" w:styleId="40">
    <w:name w:val="apple-style-span"/>
    <w:basedOn w:val="34"/>
    <w:qFormat/>
    <w:uiPriority w:val="0"/>
  </w:style>
  <w:style w:type="character" w:customStyle="1" w:styleId="41">
    <w:name w:val="样式 标题 4 + 行距: 固定值 20 磅 Char"/>
    <w:basedOn w:val="34"/>
    <w:link w:val="42"/>
    <w:qFormat/>
    <w:uiPriority w:val="0"/>
    <w:rPr>
      <w:rFonts w:ascii="Arial" w:hAnsi="Arial" w:eastAsia="宋体"/>
      <w:b/>
      <w:color w:val="000000"/>
      <w:kern w:val="2"/>
      <w:sz w:val="21"/>
      <w:lang w:val="en-US" w:eastAsia="zh-CN" w:bidi="ar-SA"/>
    </w:rPr>
  </w:style>
  <w:style w:type="paragraph" w:customStyle="1" w:styleId="42">
    <w:name w:val="样式 标题 4 + 行距: 固定值 20 磅"/>
    <w:basedOn w:val="5"/>
    <w:link w:val="41"/>
    <w:qFormat/>
    <w:uiPriority w:val="0"/>
    <w:pPr>
      <w:keepNext w:val="0"/>
      <w:keepLines w:val="0"/>
      <w:numPr>
        <w:ilvl w:val="0"/>
        <w:numId w:val="1"/>
      </w:numPr>
      <w:tabs>
        <w:tab w:val="left" w:pos="1814"/>
        <w:tab w:val="left" w:pos="2940"/>
        <w:tab w:val="clear" w:pos="420"/>
      </w:tabs>
      <w:spacing w:before="0" w:after="0" w:line="400" w:lineRule="exact"/>
    </w:pPr>
    <w:rPr>
      <w:rFonts w:eastAsia="宋体"/>
      <w:color w:val="000000"/>
      <w:sz w:val="21"/>
    </w:rPr>
  </w:style>
  <w:style w:type="character" w:customStyle="1" w:styleId="43">
    <w:name w:val="纯文本 字符"/>
    <w:basedOn w:val="34"/>
    <w:link w:val="18"/>
    <w:qFormat/>
    <w:uiPriority w:val="0"/>
    <w:rPr>
      <w:rFonts w:ascii="宋体" w:hAnsi="Courier New" w:eastAsia="宋体"/>
      <w:kern w:val="2"/>
      <w:sz w:val="21"/>
      <w:lang w:val="en-US" w:eastAsia="zh-CN" w:bidi="ar-SA"/>
    </w:rPr>
  </w:style>
  <w:style w:type="character" w:customStyle="1" w:styleId="44">
    <w:name w:val="页眉 字符"/>
    <w:basedOn w:val="34"/>
    <w:link w:val="23"/>
    <w:qFormat/>
    <w:uiPriority w:val="0"/>
    <w:rPr>
      <w:rFonts w:eastAsia="楷体_GB2312"/>
      <w:kern w:val="2"/>
      <w:sz w:val="18"/>
      <w:lang w:val="en-US" w:eastAsia="zh-CN" w:bidi="ar-SA"/>
    </w:rPr>
  </w:style>
  <w:style w:type="character" w:customStyle="1" w:styleId="45">
    <w:name w:val="f14b1"/>
    <w:basedOn w:val="34"/>
    <w:qFormat/>
    <w:uiPriority w:val="0"/>
    <w:rPr>
      <w:b/>
      <w:sz w:val="23"/>
    </w:rPr>
  </w:style>
  <w:style w:type="character" w:customStyle="1" w:styleId="46">
    <w:name w:val="mainbody1"/>
    <w:basedOn w:val="34"/>
    <w:qFormat/>
    <w:uiPriority w:val="0"/>
    <w:rPr>
      <w:rFonts w:hint="default" w:ascii="Arial" w:hAnsi="Arial"/>
      <w:color w:val="000000"/>
      <w:sz w:val="20"/>
    </w:rPr>
  </w:style>
  <w:style w:type="paragraph" w:customStyle="1" w:styleId="47">
    <w:name w:val="Char1"/>
    <w:basedOn w:val="13"/>
    <w:qFormat/>
    <w:uiPriority w:val="0"/>
    <w:rPr>
      <w:rFonts w:ascii="Tahoma" w:hAnsi="Tahoma"/>
      <w:sz w:val="24"/>
    </w:rPr>
  </w:style>
  <w:style w:type="paragraph" w:customStyle="1" w:styleId="48">
    <w:name w:val="flNote"/>
    <w:basedOn w:val="1"/>
    <w:qFormat/>
    <w:uiPriority w:val="0"/>
    <w:pPr>
      <w:adjustRightInd w:val="0"/>
      <w:spacing w:before="320" w:after="160" w:line="360" w:lineRule="atLeast"/>
      <w:jc w:val="center"/>
      <w:textAlignment w:val="baseline"/>
    </w:pPr>
    <w:rPr>
      <w:rFonts w:ascii="Arial" w:eastAsia="黑体"/>
      <w:kern w:val="0"/>
    </w:rPr>
  </w:style>
  <w:style w:type="paragraph" w:customStyle="1" w:styleId="49">
    <w:name w:val="Char Char Char Char Char Char"/>
    <w:basedOn w:val="1"/>
    <w:qFormat/>
    <w:uiPriority w:val="0"/>
  </w:style>
  <w:style w:type="paragraph" w:customStyle="1" w:styleId="50">
    <w:name w:val="图"/>
    <w:basedOn w:val="1"/>
    <w:next w:val="31"/>
    <w:qFormat/>
    <w:uiPriority w:val="0"/>
    <w:pPr>
      <w:numPr>
        <w:ilvl w:val="0"/>
        <w:numId w:val="2"/>
      </w:numPr>
    </w:pPr>
    <w:rPr>
      <w:rFonts w:eastAsia="宋体"/>
      <w:sz w:val="21"/>
      <w:szCs w:val="24"/>
    </w:rPr>
  </w:style>
  <w:style w:type="paragraph" w:customStyle="1" w:styleId="51">
    <w:name w:val="Char"/>
    <w:basedOn w:val="1"/>
    <w:qFormat/>
    <w:uiPriority w:val="0"/>
    <w:rPr>
      <w:rFonts w:ascii="Tahoma" w:hAnsi="Tahoma" w:eastAsia="宋体"/>
      <w:sz w:val="24"/>
    </w:rPr>
  </w:style>
  <w:style w:type="paragraph" w:customStyle="1" w:styleId="52">
    <w:name w:val="Char1 Char Char Char"/>
    <w:basedOn w:val="1"/>
    <w:qFormat/>
    <w:uiPriority w:val="0"/>
    <w:pPr>
      <w:tabs>
        <w:tab w:val="left" w:pos="720"/>
      </w:tabs>
      <w:ind w:left="720" w:hanging="720"/>
    </w:pPr>
    <w:rPr>
      <w:rFonts w:eastAsia="宋体"/>
      <w:sz w:val="24"/>
      <w:szCs w:val="24"/>
    </w:rPr>
  </w:style>
  <w:style w:type="paragraph" w:customStyle="1" w:styleId="53">
    <w:name w:val="Table"/>
    <w:basedOn w:val="1"/>
    <w:qFormat/>
    <w:uiPriority w:val="0"/>
    <w:pPr>
      <w:spacing w:before="20" w:after="20"/>
      <w:jc w:val="left"/>
    </w:pPr>
    <w:rPr>
      <w:rFonts w:eastAsia="宋体"/>
      <w:sz w:val="24"/>
    </w:rPr>
  </w:style>
  <w:style w:type="paragraph" w:customStyle="1" w:styleId="54">
    <w:name w:val="Char Char2"/>
    <w:basedOn w:val="1"/>
    <w:qFormat/>
    <w:uiPriority w:val="0"/>
    <w:pPr>
      <w:tabs>
        <w:tab w:val="left" w:pos="360"/>
      </w:tabs>
      <w:ind w:firstLine="420" w:firstLineChars="150"/>
    </w:pPr>
    <w:rPr>
      <w:rFonts w:ascii="Arial" w:hAnsi="Arial" w:eastAsia="宋体"/>
      <w:sz w:val="20"/>
    </w:rPr>
  </w:style>
  <w:style w:type="paragraph" w:customStyle="1" w:styleId="55">
    <w:name w:val="标准正文"/>
    <w:basedOn w:val="16"/>
    <w:qFormat/>
    <w:uiPriority w:val="0"/>
    <w:pPr>
      <w:spacing w:before="60" w:after="60" w:line="360" w:lineRule="auto"/>
      <w:ind w:firstLine="482"/>
    </w:pPr>
    <w:rPr>
      <w:rFonts w:hAnsi="宋体"/>
      <w:sz w:val="24"/>
    </w:rPr>
  </w:style>
  <w:style w:type="paragraph" w:customStyle="1" w:styleId="56">
    <w:name w:val="Char Char1 Char Char Char Char Char Char Char Char"/>
    <w:basedOn w:val="1"/>
    <w:qFormat/>
    <w:uiPriority w:val="0"/>
    <w:pPr>
      <w:tabs>
        <w:tab w:val="left" w:pos="360"/>
      </w:tabs>
      <w:ind w:firstLine="420" w:firstLineChars="150"/>
    </w:pPr>
    <w:rPr>
      <w:rFonts w:ascii="Arial" w:hAnsi="Arial" w:eastAsia="宋体" w:cs="Arial"/>
      <w:sz w:val="20"/>
    </w:rPr>
  </w:style>
  <w:style w:type="paragraph" w:customStyle="1" w:styleId="57">
    <w:name w:val="样式 标题 3 + 小四 非加粗 段前: 0 磅 段后: 0 磅 行距: 单倍行距"/>
    <w:basedOn w:val="4"/>
    <w:qFormat/>
    <w:uiPriority w:val="0"/>
    <w:pPr>
      <w:keepNext w:val="0"/>
      <w:tabs>
        <w:tab w:val="left" w:pos="-567"/>
      </w:tabs>
      <w:spacing w:before="120" w:after="120"/>
      <w:ind w:left="-19" w:firstLine="19"/>
      <w:jc w:val="left"/>
    </w:pPr>
    <w:rPr>
      <w:rFonts w:ascii="Times New Roman" w:hAnsi="Times New Roman" w:eastAsia="宋体"/>
      <w:b w:val="0"/>
    </w:rPr>
  </w:style>
  <w:style w:type="paragraph" w:customStyle="1" w:styleId="58">
    <w:name w:val="Char Char1"/>
    <w:basedOn w:val="1"/>
    <w:qFormat/>
    <w:uiPriority w:val="0"/>
    <w:pPr>
      <w:widowControl/>
      <w:spacing w:before="60" w:after="60" w:line="360" w:lineRule="exact"/>
      <w:jc w:val="left"/>
    </w:pPr>
    <w:rPr>
      <w:rFonts w:ascii="Tahoma" w:hAnsi="Tahoma" w:eastAsia="宋体" w:cs="宋体"/>
      <w:sz w:val="24"/>
      <w:szCs w:val="24"/>
    </w:rPr>
  </w:style>
  <w:style w:type="paragraph" w:customStyle="1" w:styleId="59">
    <w:name w:val="Char1 Char Char Char Char Char Char"/>
    <w:basedOn w:val="1"/>
    <w:qFormat/>
    <w:uiPriority w:val="0"/>
    <w:pPr>
      <w:adjustRightInd w:val="0"/>
    </w:pPr>
    <w:rPr>
      <w:rFonts w:ascii="Tahoma" w:hAnsi="Tahoma" w:eastAsia="宋体"/>
      <w:sz w:val="24"/>
    </w:rPr>
  </w:style>
  <w:style w:type="paragraph" w:customStyle="1" w:styleId="60">
    <w:name w:val="标书正文"/>
    <w:basedOn w:val="1"/>
    <w:qFormat/>
    <w:uiPriority w:val="0"/>
    <w:pPr>
      <w:spacing w:before="100" w:after="100" w:line="360" w:lineRule="auto"/>
      <w:jc w:val="center"/>
    </w:pPr>
    <w:rPr>
      <w:rFonts w:ascii="Arial" w:hAnsi="Arial" w:eastAsia="宋体"/>
      <w:b/>
      <w:kern w:val="0"/>
      <w:sz w:val="24"/>
    </w:rPr>
  </w:style>
  <w:style w:type="paragraph" w:customStyle="1" w:styleId="61">
    <w:name w:val="GMCC 正文"/>
    <w:basedOn w:val="1"/>
    <w:qFormat/>
    <w:uiPriority w:val="0"/>
    <w:pPr>
      <w:spacing w:line="360" w:lineRule="exact"/>
    </w:pPr>
    <w:rPr>
      <w:rFonts w:eastAsia="宋体"/>
      <w:sz w:val="24"/>
    </w:rPr>
  </w:style>
  <w:style w:type="paragraph" w:styleId="6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EDF5E-F8A0-4049-B17C-E49B843748D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2760</Words>
  <Characters>3286</Characters>
  <Lines>26</Lines>
  <Paragraphs>7</Paragraphs>
  <TotalTime>1128</TotalTime>
  <ScaleCrop>false</ScaleCrop>
  <LinksUpToDate>false</LinksUpToDate>
  <CharactersWithSpaces>3569</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2024-05-06T08:51:00Z</dcterms:created>
  <dc:creator>微软用户</dc:creator>
  <cp:lastModifiedBy>Mini丸子</cp:lastModifiedBy>
  <cp:lastPrinted>2024-05-07T07:27:00Z</cp:lastPrinted>
  <dcterms:modified xsi:type="dcterms:W3CDTF">2024-05-14T08:00:22Z</dcterms:modified>
  <dc:title>第一部分　公开招标书</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99C5C63A48474356A10CDC789D6B6B90_12</vt:lpwstr>
  </property>
</Properties>
</file>